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7A6" w:rsidRDefault="00B717A6" w:rsidP="001F0CFD">
      <w:pPr>
        <w:widowControl/>
        <w:spacing w:after="120"/>
        <w:jc w:val="both"/>
        <w:rPr>
          <w:b/>
          <w:snapToGrid/>
          <w:sz w:val="22"/>
          <w:szCs w:val="22"/>
        </w:rPr>
      </w:pPr>
      <w:bookmarkStart w:id="0" w:name="_GoBack"/>
      <w:bookmarkEnd w:id="0"/>
      <w:r w:rsidRPr="00B717A6">
        <w:rPr>
          <w:b/>
          <w:snapToGrid/>
          <w:sz w:val="22"/>
          <w:szCs w:val="22"/>
        </w:rPr>
        <w:t>ПРИЛОЖЕНИЕ № 3. ОСНОВНЫЕ ПОЛОЖЕНИЯ УЧЕТНОЙ ПОЛИТИКИ ЭМИТЕНТА НА 2013-2016 ГГ</w:t>
      </w:r>
    </w:p>
    <w:p w:rsidR="00B717A6" w:rsidRDefault="00B717A6" w:rsidP="001F0CFD">
      <w:pPr>
        <w:widowControl/>
        <w:spacing w:after="120"/>
        <w:jc w:val="both"/>
        <w:rPr>
          <w:b/>
          <w:snapToGrid/>
          <w:sz w:val="22"/>
          <w:szCs w:val="22"/>
        </w:rPr>
      </w:pPr>
    </w:p>
    <w:p w:rsidR="001F0CFD" w:rsidRPr="006E4404" w:rsidRDefault="001F0CFD" w:rsidP="001F0CFD">
      <w:pPr>
        <w:widowControl/>
        <w:spacing w:after="120"/>
        <w:jc w:val="both"/>
        <w:rPr>
          <w:b/>
          <w:snapToGrid/>
          <w:sz w:val="22"/>
          <w:szCs w:val="22"/>
        </w:rPr>
      </w:pPr>
      <w:r w:rsidRPr="006E4404">
        <w:rPr>
          <w:b/>
          <w:snapToGrid/>
          <w:sz w:val="22"/>
          <w:szCs w:val="22"/>
        </w:rPr>
        <w:t>Основные положения учетной политики Эмитента на 2013 год</w:t>
      </w:r>
    </w:p>
    <w:p w:rsidR="001F0CFD" w:rsidRPr="006E4404" w:rsidRDefault="001F0CFD" w:rsidP="001F0CFD">
      <w:pPr>
        <w:widowControl/>
        <w:spacing w:after="120"/>
        <w:jc w:val="both"/>
        <w:rPr>
          <w:snapToGrid/>
          <w:sz w:val="22"/>
          <w:szCs w:val="22"/>
        </w:rPr>
      </w:pPr>
    </w:p>
    <w:p w:rsidR="001F0CFD" w:rsidRPr="006E4404" w:rsidRDefault="001F0CFD" w:rsidP="001F0CFD">
      <w:pPr>
        <w:widowControl/>
        <w:spacing w:after="120"/>
        <w:jc w:val="both"/>
        <w:rPr>
          <w:snapToGrid/>
          <w:sz w:val="22"/>
          <w:szCs w:val="22"/>
        </w:rPr>
      </w:pPr>
      <w:r w:rsidRPr="006E4404">
        <w:rPr>
          <w:snapToGrid/>
          <w:sz w:val="22"/>
          <w:szCs w:val="22"/>
        </w:rPr>
        <w:t xml:space="preserve">1.1.Учетная политика для целей бухгалтерского учета ОАО «Мобильные ТелеСистемы» (далее Общество) является документом, определяющим совокупность способов ведения бухгалтерского учета  исходя из особенностей финансовой и хозяйственной деятельности Общества. </w:t>
      </w:r>
    </w:p>
    <w:p w:rsidR="001F0CFD" w:rsidRPr="006E4404" w:rsidRDefault="001F0CFD" w:rsidP="001F0CFD">
      <w:pPr>
        <w:widowControl/>
        <w:spacing w:after="120"/>
        <w:jc w:val="both"/>
        <w:rPr>
          <w:snapToGrid/>
          <w:sz w:val="22"/>
          <w:szCs w:val="22"/>
        </w:rPr>
      </w:pPr>
      <w:r w:rsidRPr="006E4404">
        <w:rPr>
          <w:snapToGrid/>
          <w:sz w:val="22"/>
          <w:szCs w:val="22"/>
        </w:rPr>
        <w:t>1.2. Данная Учетная политика обязательна для применения всеми подразделениями ОАО «</w:t>
      </w:r>
      <w:r w:rsidRPr="006E4404">
        <w:rPr>
          <w:snapToGrid/>
          <w:color w:val="000000"/>
          <w:sz w:val="22"/>
          <w:szCs w:val="22"/>
        </w:rPr>
        <w:t>Мобильные ТелеСистемы</w:t>
      </w:r>
      <w:r w:rsidRPr="006E4404">
        <w:rPr>
          <w:snapToGrid/>
          <w:sz w:val="22"/>
          <w:szCs w:val="22"/>
        </w:rPr>
        <w:t>», включая филиалы и представительства, независимо от их места нахождения.</w:t>
      </w:r>
    </w:p>
    <w:p w:rsidR="001F0CFD" w:rsidRPr="006E4404" w:rsidRDefault="001F0CFD" w:rsidP="001F0CFD">
      <w:pPr>
        <w:spacing w:after="120"/>
        <w:jc w:val="both"/>
        <w:rPr>
          <w:sz w:val="22"/>
          <w:szCs w:val="22"/>
        </w:rPr>
      </w:pPr>
      <w:r w:rsidRPr="006E4404">
        <w:rPr>
          <w:sz w:val="22"/>
          <w:szCs w:val="22"/>
        </w:rPr>
        <w:t>1.3. Основными законодательными и нормативными актами, регулирующими бухгалтерский учет, являются поименованные акты с учетом их последующих изменений:</w:t>
      </w:r>
    </w:p>
    <w:p w:rsidR="001F0CFD" w:rsidRPr="006E4404" w:rsidRDefault="001F0CFD" w:rsidP="001F0CFD">
      <w:pPr>
        <w:numPr>
          <w:ilvl w:val="0"/>
          <w:numId w:val="1"/>
        </w:numPr>
        <w:spacing w:after="120"/>
        <w:ind w:right="51"/>
        <w:jc w:val="both"/>
        <w:rPr>
          <w:sz w:val="22"/>
          <w:szCs w:val="22"/>
        </w:rPr>
      </w:pPr>
      <w:r w:rsidRPr="006E4404">
        <w:rPr>
          <w:sz w:val="22"/>
          <w:szCs w:val="22"/>
        </w:rPr>
        <w:t>Федеральный закон «О бухгалтерском учете» от 06 декабря 2011 г. № 402-ФЗ;</w:t>
      </w:r>
    </w:p>
    <w:p w:rsidR="001F0CFD" w:rsidRPr="006E4404" w:rsidRDefault="001F0CFD" w:rsidP="001F0CFD">
      <w:pPr>
        <w:numPr>
          <w:ilvl w:val="0"/>
          <w:numId w:val="1"/>
        </w:numPr>
        <w:spacing w:after="120"/>
        <w:ind w:right="51"/>
        <w:jc w:val="both"/>
        <w:rPr>
          <w:sz w:val="22"/>
          <w:szCs w:val="22"/>
        </w:rPr>
      </w:pPr>
      <w:r w:rsidRPr="006E4404">
        <w:rPr>
          <w:sz w:val="22"/>
          <w:szCs w:val="22"/>
        </w:rPr>
        <w:t>Федеральный закон «Об акционерных обществах» от 26 декабря 1995 г. № 208-ФЗ;</w:t>
      </w:r>
    </w:p>
    <w:p w:rsidR="001F0CFD" w:rsidRPr="006E4404" w:rsidRDefault="001F0CFD" w:rsidP="001F0CFD">
      <w:pPr>
        <w:numPr>
          <w:ilvl w:val="0"/>
          <w:numId w:val="1"/>
        </w:numPr>
        <w:spacing w:after="120"/>
        <w:ind w:right="51"/>
        <w:jc w:val="both"/>
        <w:rPr>
          <w:sz w:val="22"/>
          <w:szCs w:val="22"/>
        </w:rPr>
      </w:pPr>
      <w:r w:rsidRPr="006E4404">
        <w:rPr>
          <w:sz w:val="22"/>
          <w:szCs w:val="22"/>
        </w:rPr>
        <w:t>Федеральный закон «О валютном регулировании и валютном контроле» от 10 декабря 2003 г. №173-ФЗ;</w:t>
      </w:r>
    </w:p>
    <w:p w:rsidR="001F0CFD" w:rsidRPr="006E4404" w:rsidRDefault="001F0CFD" w:rsidP="001F0CFD">
      <w:pPr>
        <w:numPr>
          <w:ilvl w:val="0"/>
          <w:numId w:val="1"/>
        </w:numPr>
        <w:spacing w:after="120"/>
        <w:ind w:right="51"/>
        <w:jc w:val="both"/>
        <w:rPr>
          <w:sz w:val="22"/>
          <w:szCs w:val="22"/>
        </w:rPr>
      </w:pPr>
      <w:r w:rsidRPr="006E4404">
        <w:rPr>
          <w:sz w:val="22"/>
          <w:szCs w:val="22"/>
        </w:rPr>
        <w:t xml:space="preserve">Федеральный закон «О консолидированной финансовой отчетности» от 27 июля 2010 г. № 208-ФЗ; </w:t>
      </w:r>
    </w:p>
    <w:p w:rsidR="001F0CFD" w:rsidRPr="006E4404" w:rsidRDefault="001F0CFD" w:rsidP="001F0CFD">
      <w:pPr>
        <w:numPr>
          <w:ilvl w:val="0"/>
          <w:numId w:val="3"/>
        </w:numPr>
        <w:spacing w:after="120"/>
        <w:ind w:right="51"/>
        <w:jc w:val="both"/>
        <w:rPr>
          <w:sz w:val="22"/>
          <w:szCs w:val="22"/>
        </w:rPr>
      </w:pPr>
      <w:r w:rsidRPr="006E4404">
        <w:rPr>
          <w:sz w:val="22"/>
          <w:szCs w:val="22"/>
        </w:rPr>
        <w:t xml:space="preserve">Положение по ведению бухгалтерского учета и бухгалтерской отчетности в Российской Федерации, утвержденное приказом Минфина России от 29 июля 1998 г. № 34н; </w:t>
      </w:r>
    </w:p>
    <w:p w:rsidR="001F0CFD" w:rsidRPr="006E4404" w:rsidRDefault="001F0CFD" w:rsidP="001F0CFD">
      <w:pPr>
        <w:numPr>
          <w:ilvl w:val="0"/>
          <w:numId w:val="2"/>
        </w:numPr>
        <w:spacing w:after="120"/>
        <w:ind w:right="51"/>
        <w:jc w:val="both"/>
        <w:rPr>
          <w:sz w:val="22"/>
          <w:szCs w:val="22"/>
        </w:rPr>
      </w:pPr>
      <w:r w:rsidRPr="006E4404">
        <w:rPr>
          <w:sz w:val="22"/>
          <w:szCs w:val="22"/>
        </w:rPr>
        <w:t>Положение по бухгалтерскому учету «Учетная политика организации» ПБУ 1/2008, утвержденное приказом Минфина России от 06 октября 2008 г. № 106н;</w:t>
      </w:r>
    </w:p>
    <w:p w:rsidR="001F0CFD" w:rsidRPr="006E4404" w:rsidRDefault="001F0CFD" w:rsidP="001F0CFD">
      <w:pPr>
        <w:numPr>
          <w:ilvl w:val="0"/>
          <w:numId w:val="5"/>
        </w:numPr>
        <w:spacing w:after="120"/>
        <w:jc w:val="both"/>
        <w:rPr>
          <w:sz w:val="22"/>
          <w:szCs w:val="22"/>
        </w:rPr>
      </w:pPr>
      <w:r w:rsidRPr="006E4404">
        <w:rPr>
          <w:sz w:val="22"/>
          <w:szCs w:val="22"/>
        </w:rPr>
        <w:t xml:space="preserve">Положение по бухгалтерскому учету «Учет договоров строительного подряда» ПБУ 2/2008, утвержденное Приказом Минфина РФ от 24 октября 2008 г. №116н; </w:t>
      </w:r>
    </w:p>
    <w:p w:rsidR="001F0CFD" w:rsidRPr="006E4404" w:rsidRDefault="001F0CFD" w:rsidP="001F0CFD">
      <w:pPr>
        <w:numPr>
          <w:ilvl w:val="0"/>
          <w:numId w:val="5"/>
        </w:numPr>
        <w:spacing w:after="120"/>
        <w:jc w:val="both"/>
        <w:rPr>
          <w:sz w:val="22"/>
          <w:szCs w:val="22"/>
        </w:rPr>
      </w:pPr>
      <w:r w:rsidRPr="006E4404">
        <w:rPr>
          <w:sz w:val="22"/>
          <w:szCs w:val="22"/>
        </w:rPr>
        <w:t>Положение по бухгалтерскому учету «Учет активов и обязательств, стоимость, которых выражена в иностранной валюте» ПБУ 3/2006, утвержденное приказом Минфина РФ от 27 ноября 2006 г. № 154н;</w:t>
      </w:r>
    </w:p>
    <w:p w:rsidR="001F0CFD" w:rsidRPr="006E4404" w:rsidRDefault="001F0CFD" w:rsidP="001F0CFD">
      <w:pPr>
        <w:numPr>
          <w:ilvl w:val="0"/>
          <w:numId w:val="6"/>
        </w:numPr>
        <w:spacing w:after="120"/>
        <w:jc w:val="both"/>
        <w:rPr>
          <w:sz w:val="22"/>
          <w:szCs w:val="22"/>
        </w:rPr>
      </w:pPr>
      <w:r w:rsidRPr="006E4404">
        <w:rPr>
          <w:sz w:val="22"/>
          <w:szCs w:val="22"/>
        </w:rPr>
        <w:t>Положение по бухгалтерскому учету «Бухгалтерская отчетность организации» ПБУ  4/1999, утвержденное Приказом Минфина РФ от 06 июля 1999 г. №43н;</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«Учет материально-производственных запасов» ПБУ 5/2001, утвержденное приказом Минфина РФ от 9 июня 2001 г. № 44н;</w:t>
      </w:r>
    </w:p>
    <w:p w:rsidR="001F0CFD" w:rsidRPr="006E4404" w:rsidRDefault="001F0CFD" w:rsidP="001F0CFD">
      <w:pPr>
        <w:numPr>
          <w:ilvl w:val="0"/>
          <w:numId w:val="3"/>
        </w:numPr>
        <w:spacing w:after="120"/>
        <w:ind w:right="51"/>
        <w:jc w:val="both"/>
        <w:rPr>
          <w:sz w:val="22"/>
          <w:szCs w:val="22"/>
        </w:rPr>
      </w:pPr>
      <w:r w:rsidRPr="006E4404">
        <w:rPr>
          <w:color w:val="000000"/>
          <w:sz w:val="22"/>
          <w:szCs w:val="22"/>
        </w:rPr>
        <w:t>Положение по бухгалтерскому учету «Учет основных средств» ПБУ 6/2001, утвержденное приказом Минфина РФ от 30 марта 2001 г. № 26н;</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«События после отчетной даты» ПБУ 7/1998, утвержденное приказом Минфина РФ от 25 ноября 1998 г. № 56н;</w:t>
      </w:r>
    </w:p>
    <w:p w:rsidR="001F0CFD" w:rsidRPr="006E4404" w:rsidRDefault="001F0CFD" w:rsidP="001F0CFD">
      <w:pPr>
        <w:numPr>
          <w:ilvl w:val="0"/>
          <w:numId w:val="3"/>
        </w:numPr>
        <w:spacing w:after="120"/>
        <w:ind w:right="51"/>
        <w:jc w:val="both"/>
        <w:rPr>
          <w:sz w:val="22"/>
          <w:szCs w:val="22"/>
        </w:rPr>
      </w:pPr>
      <w:r w:rsidRPr="006E4404">
        <w:rPr>
          <w:sz w:val="22"/>
          <w:szCs w:val="22"/>
        </w:rPr>
        <w:t xml:space="preserve">Положение по бухгалтерскому учету «Оценочные обязательства, условные обязательства и условные активы» ПБУ 8/2010, утвержденное приказом Минфина РФ от 13 декабря 2010 N 167н; </w:t>
      </w:r>
    </w:p>
    <w:p w:rsidR="001F0CFD" w:rsidRPr="006E4404" w:rsidRDefault="001F0CFD" w:rsidP="001F0CFD">
      <w:pPr>
        <w:numPr>
          <w:ilvl w:val="0"/>
          <w:numId w:val="4"/>
        </w:numPr>
        <w:spacing w:after="120"/>
        <w:ind w:right="51"/>
        <w:jc w:val="both"/>
        <w:rPr>
          <w:sz w:val="22"/>
          <w:szCs w:val="22"/>
        </w:rPr>
      </w:pPr>
      <w:r w:rsidRPr="006E4404">
        <w:rPr>
          <w:color w:val="000000"/>
          <w:sz w:val="22"/>
          <w:szCs w:val="22"/>
        </w:rPr>
        <w:t>Положение по бухгалтерскому учету «Доходы организации» ПБУ 9/1999 утвержденное приказом Минфина РФ от 06 мая 1999 г. № 32н;</w:t>
      </w:r>
    </w:p>
    <w:p w:rsidR="001F0CFD" w:rsidRPr="006E4404" w:rsidRDefault="001F0CFD" w:rsidP="001F0CFD">
      <w:pPr>
        <w:numPr>
          <w:ilvl w:val="0"/>
          <w:numId w:val="4"/>
        </w:numPr>
        <w:spacing w:after="120"/>
        <w:ind w:right="51"/>
        <w:jc w:val="both"/>
        <w:rPr>
          <w:sz w:val="22"/>
          <w:szCs w:val="22"/>
        </w:rPr>
      </w:pPr>
      <w:r w:rsidRPr="006E4404">
        <w:rPr>
          <w:sz w:val="22"/>
          <w:szCs w:val="22"/>
        </w:rPr>
        <w:t>Положение по бухгалтерскому учету «Расходы организации» ПБУ 10/1999, утвержденное приказом Минфина РФ от 06 мая 1999 г. № 33н</w:t>
      </w:r>
      <w:r w:rsidRPr="006E4404">
        <w:rPr>
          <w:color w:val="000000"/>
          <w:sz w:val="22"/>
          <w:szCs w:val="22"/>
        </w:rPr>
        <w:t>;</w:t>
      </w:r>
    </w:p>
    <w:p w:rsidR="001F0CFD" w:rsidRPr="006E4404" w:rsidRDefault="001F0CFD" w:rsidP="001F0CFD">
      <w:pPr>
        <w:numPr>
          <w:ilvl w:val="0"/>
          <w:numId w:val="4"/>
        </w:numPr>
        <w:spacing w:after="120"/>
        <w:ind w:right="51"/>
        <w:jc w:val="both"/>
        <w:rPr>
          <w:sz w:val="22"/>
          <w:szCs w:val="22"/>
        </w:rPr>
      </w:pPr>
      <w:r w:rsidRPr="006E4404">
        <w:rPr>
          <w:sz w:val="22"/>
          <w:szCs w:val="22"/>
        </w:rPr>
        <w:t>Положение по бухгалтерскому учету «Информация о связанных сторонах» ПБУ 11/2008, утвержденное приказом Минфина РФ от 29 апреля 2008 г. № 48н</w:t>
      </w:r>
      <w:r w:rsidRPr="006E4404">
        <w:rPr>
          <w:color w:val="000000"/>
          <w:sz w:val="22"/>
          <w:szCs w:val="22"/>
        </w:rPr>
        <w:t>;</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«Информация по сегментам» ПБУ 12/2010, утвержденное приказом Минфина РФ от 8 ноября 2010 г. № 143н;</w:t>
      </w:r>
    </w:p>
    <w:p w:rsidR="001F0CFD" w:rsidRPr="006E4404" w:rsidRDefault="001F0CFD" w:rsidP="001F0CFD">
      <w:pPr>
        <w:numPr>
          <w:ilvl w:val="0"/>
          <w:numId w:val="3"/>
        </w:numPr>
        <w:spacing w:after="120"/>
        <w:ind w:right="51"/>
        <w:jc w:val="both"/>
        <w:rPr>
          <w:sz w:val="22"/>
          <w:szCs w:val="22"/>
        </w:rPr>
      </w:pPr>
      <w:r w:rsidRPr="006E4404">
        <w:rPr>
          <w:sz w:val="22"/>
          <w:szCs w:val="22"/>
        </w:rPr>
        <w:t xml:space="preserve">Положение по бухгалтерскому учету «Учет государственной помощи» ПБУ 13/2000, утвержденное </w:t>
      </w:r>
      <w:r w:rsidRPr="006E4404">
        <w:rPr>
          <w:sz w:val="22"/>
          <w:szCs w:val="22"/>
        </w:rPr>
        <w:lastRenderedPageBreak/>
        <w:t>приказом Минфина РФ от 16 октября 2000 г. № 92н;</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«Учет нематериальных активов» ПБУ 14/2007, утвержденное приказом Минфина РФ от 27 декабря 2007 г. № 153н;</w:t>
      </w:r>
    </w:p>
    <w:p w:rsidR="001F0CFD" w:rsidRPr="006E4404" w:rsidRDefault="001F0CFD" w:rsidP="001F0CFD">
      <w:pPr>
        <w:numPr>
          <w:ilvl w:val="0"/>
          <w:numId w:val="3"/>
        </w:numPr>
        <w:spacing w:after="120"/>
        <w:ind w:right="51"/>
        <w:jc w:val="both"/>
        <w:rPr>
          <w:color w:val="000000"/>
          <w:sz w:val="22"/>
          <w:szCs w:val="22"/>
        </w:rPr>
      </w:pPr>
      <w:r w:rsidRPr="006E4404">
        <w:rPr>
          <w:sz w:val="22"/>
          <w:szCs w:val="22"/>
        </w:rPr>
        <w:t>Положение по бухгалтерскому учету «Учет расходов по займам и кредитам» ПБУ 15/2008, утвержденное приказом Минфина РФ от 6 октября 2008 г. № 107н;</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«Информация по прекращаемой деятельности» ПБУ 16/2002, утвержденное приказом Минфина РФ от 2 июля 2002 г. № 66н;</w:t>
      </w:r>
    </w:p>
    <w:p w:rsidR="001F0CFD" w:rsidRPr="006E4404" w:rsidRDefault="001F0CFD" w:rsidP="001F0CFD">
      <w:pPr>
        <w:numPr>
          <w:ilvl w:val="0"/>
          <w:numId w:val="3"/>
        </w:numPr>
        <w:spacing w:after="120"/>
        <w:ind w:right="51"/>
        <w:jc w:val="both"/>
        <w:rPr>
          <w:sz w:val="22"/>
          <w:szCs w:val="22"/>
        </w:rPr>
      </w:pPr>
      <w:r w:rsidRPr="006E4404">
        <w:rPr>
          <w:sz w:val="22"/>
          <w:szCs w:val="22"/>
        </w:rPr>
        <w:t xml:space="preserve">Положение по бухгалтерскому учету «Учет расходов на научно-исследовательские, опытно-конструкторские и технологические работы» ПБУ 17/2002, утвержденное приказом Минфина РФ от 19 ноября 2002 г. № 115н; </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«Учет расчетов по налогу на прибыль» ПБУ 18/2002, утвержденное приказом Минфина РФ от 19 ноября 2002 г. № 114н;</w:t>
      </w:r>
    </w:p>
    <w:p w:rsidR="001F0CFD" w:rsidRPr="006E4404" w:rsidRDefault="001F0CFD" w:rsidP="001F0CFD">
      <w:pPr>
        <w:numPr>
          <w:ilvl w:val="0"/>
          <w:numId w:val="3"/>
        </w:numPr>
        <w:spacing w:after="120"/>
        <w:ind w:right="51"/>
        <w:jc w:val="both"/>
        <w:rPr>
          <w:sz w:val="22"/>
          <w:szCs w:val="22"/>
        </w:rPr>
      </w:pPr>
      <w:r w:rsidRPr="006E4404">
        <w:rPr>
          <w:sz w:val="22"/>
          <w:szCs w:val="22"/>
        </w:rPr>
        <w:t>Положение по бухгалтерскому учету «Учет финансовых вложений» ПБУ 19/2002, утвержденное приказом Минфина РФ от 10 декабря 2002 г. № 126н;</w:t>
      </w:r>
    </w:p>
    <w:p w:rsidR="001F0CFD" w:rsidRPr="006E4404" w:rsidRDefault="001F0CFD" w:rsidP="001F0CFD">
      <w:pPr>
        <w:numPr>
          <w:ilvl w:val="0"/>
          <w:numId w:val="3"/>
        </w:numPr>
        <w:spacing w:after="120"/>
        <w:ind w:right="51"/>
        <w:jc w:val="both"/>
        <w:rPr>
          <w:color w:val="000000"/>
          <w:sz w:val="22"/>
          <w:szCs w:val="22"/>
        </w:rPr>
      </w:pPr>
      <w:r w:rsidRPr="006E4404">
        <w:rPr>
          <w:color w:val="000000"/>
          <w:sz w:val="22"/>
          <w:szCs w:val="22"/>
        </w:rPr>
        <w:t xml:space="preserve">Положение по бухгалтерскому учету «Информация об участии в совместной деятельности» ПБУ 20/2003, утвержденное приказом Минфина РФ от 24 ноября 2003 г. № 105н;  </w:t>
      </w:r>
    </w:p>
    <w:p w:rsidR="001F0CFD" w:rsidRPr="006E4404" w:rsidRDefault="001F0CFD" w:rsidP="001F0CFD">
      <w:pPr>
        <w:numPr>
          <w:ilvl w:val="0"/>
          <w:numId w:val="3"/>
        </w:numPr>
        <w:spacing w:after="120"/>
        <w:ind w:right="51"/>
        <w:jc w:val="both"/>
        <w:rPr>
          <w:color w:val="000000"/>
          <w:sz w:val="22"/>
          <w:szCs w:val="22"/>
        </w:rPr>
      </w:pPr>
      <w:r w:rsidRPr="006E4404">
        <w:rPr>
          <w:sz w:val="22"/>
          <w:szCs w:val="22"/>
        </w:rPr>
        <w:t>Положение по бухгалтерскому учету «Изменения оценочных значений» ПБУ 21/2008, утвержденное приказом Минфина России от 06 октября 2008 г. № 106н;</w:t>
      </w:r>
    </w:p>
    <w:p w:rsidR="001F0CFD" w:rsidRPr="006E4404" w:rsidRDefault="001F0CFD" w:rsidP="001F0CFD">
      <w:pPr>
        <w:numPr>
          <w:ilvl w:val="0"/>
          <w:numId w:val="3"/>
        </w:numPr>
        <w:spacing w:after="120"/>
        <w:ind w:right="51"/>
        <w:jc w:val="both"/>
        <w:rPr>
          <w:color w:val="000000"/>
          <w:sz w:val="22"/>
          <w:szCs w:val="22"/>
        </w:rPr>
      </w:pPr>
      <w:r w:rsidRPr="006E4404">
        <w:rPr>
          <w:sz w:val="22"/>
          <w:szCs w:val="22"/>
        </w:rPr>
        <w:t>Положение по бухгалтерскому учету «Исправление ошибок в бухгалтерском учете и отчетности» ПБУ 22/2010, утвержденное приказом Минфина России от 28 июня 2010  г. № 63н;</w:t>
      </w:r>
    </w:p>
    <w:p w:rsidR="001F0CFD" w:rsidRPr="006E4404" w:rsidRDefault="001F0CFD" w:rsidP="001F0CFD">
      <w:pPr>
        <w:numPr>
          <w:ilvl w:val="0"/>
          <w:numId w:val="3"/>
        </w:numPr>
        <w:spacing w:after="120"/>
        <w:ind w:right="51"/>
        <w:jc w:val="both"/>
        <w:rPr>
          <w:color w:val="000000"/>
          <w:sz w:val="22"/>
          <w:szCs w:val="22"/>
        </w:rPr>
      </w:pPr>
      <w:r w:rsidRPr="006E4404">
        <w:rPr>
          <w:sz w:val="22"/>
          <w:szCs w:val="22"/>
        </w:rPr>
        <w:t>Положение по бухгалтерскому учету «Отчет о движении денежных средств» ПБУ 23/2011, утвержденное приказом Минфина РФ от 02 февраля 2011 № 11н;</w:t>
      </w:r>
    </w:p>
    <w:p w:rsidR="001F0CFD" w:rsidRPr="006E4404" w:rsidRDefault="001F0CFD" w:rsidP="001F0CFD">
      <w:pPr>
        <w:numPr>
          <w:ilvl w:val="0"/>
          <w:numId w:val="3"/>
        </w:numPr>
        <w:spacing w:after="120"/>
        <w:ind w:right="51"/>
        <w:jc w:val="both"/>
        <w:rPr>
          <w:sz w:val="22"/>
          <w:szCs w:val="22"/>
        </w:rPr>
      </w:pPr>
      <w:r w:rsidRPr="006E4404">
        <w:rPr>
          <w:color w:val="000000"/>
          <w:sz w:val="22"/>
          <w:szCs w:val="22"/>
        </w:rPr>
        <w:t>План счетов бухгалтерского учета финансово-хозяйственной деятельности организаций и Инструкция по его применению, утвержденные приказом Минфина РФ от 31 октября 2000 г. № 94н;</w:t>
      </w:r>
    </w:p>
    <w:p w:rsidR="001F0CFD" w:rsidRPr="006E4404" w:rsidRDefault="001F0CFD" w:rsidP="001F0CFD">
      <w:pPr>
        <w:numPr>
          <w:ilvl w:val="0"/>
          <w:numId w:val="3"/>
        </w:numPr>
        <w:spacing w:after="120"/>
        <w:ind w:right="51"/>
        <w:jc w:val="both"/>
        <w:rPr>
          <w:sz w:val="22"/>
          <w:szCs w:val="22"/>
        </w:rPr>
      </w:pPr>
      <w:r w:rsidRPr="006E4404">
        <w:rPr>
          <w:sz w:val="22"/>
          <w:szCs w:val="22"/>
        </w:rPr>
        <w:t xml:space="preserve">Приказ Минфина РФ от 18.07.2012 N 106н «О введении в действие и прекращении действия документов Международных стандартов финансовой отчетности на территории Российской Федерации»; </w:t>
      </w:r>
    </w:p>
    <w:p w:rsidR="001F0CFD" w:rsidRPr="006E4404" w:rsidRDefault="00A74FEC" w:rsidP="001F0CFD">
      <w:pPr>
        <w:numPr>
          <w:ilvl w:val="0"/>
          <w:numId w:val="3"/>
        </w:numPr>
        <w:spacing w:after="120"/>
        <w:ind w:right="51"/>
        <w:jc w:val="both"/>
        <w:rPr>
          <w:sz w:val="22"/>
          <w:szCs w:val="22"/>
        </w:rPr>
      </w:pPr>
      <w:hyperlink r:id="rId8" w:history="1">
        <w:r w:rsidR="001F0CFD" w:rsidRPr="006E4404">
          <w:rPr>
            <w:iCs/>
            <w:sz w:val="22"/>
            <w:szCs w:val="22"/>
          </w:rPr>
          <w:t>Приказ Минфина РФ от 25.11.2011 N 160н "О введении в действие Международных стандартов финансовой отчетности и Разъяснений Международных стандартов финансовой отчетности на территории Российской Федерации"</w:t>
        </w:r>
      </w:hyperlink>
      <w:r w:rsidR="001F0CFD" w:rsidRPr="006E4404">
        <w:rPr>
          <w:sz w:val="22"/>
          <w:szCs w:val="22"/>
        </w:rPr>
        <w:t>;</w:t>
      </w:r>
    </w:p>
    <w:p w:rsidR="001F0CFD" w:rsidRPr="006E4404" w:rsidRDefault="00A74FEC" w:rsidP="001F0CFD">
      <w:pPr>
        <w:numPr>
          <w:ilvl w:val="0"/>
          <w:numId w:val="3"/>
        </w:numPr>
        <w:spacing w:after="120"/>
        <w:ind w:right="51"/>
        <w:jc w:val="both"/>
        <w:rPr>
          <w:sz w:val="22"/>
          <w:szCs w:val="22"/>
        </w:rPr>
      </w:pPr>
      <w:hyperlink r:id="rId9" w:history="1">
        <w:r w:rsidR="001F0CFD" w:rsidRPr="006E4404">
          <w:rPr>
            <w:iCs/>
            <w:sz w:val="22"/>
            <w:szCs w:val="22"/>
          </w:rPr>
          <w:t>Приказ Минфина РФ от 31.10.2012 N 143н "О введении в действие документов Международных стандартов финансовой отчетности на территории Российской Федерации"</w:t>
        </w:r>
      </w:hyperlink>
      <w:r w:rsidR="001F0CFD" w:rsidRPr="006E4404">
        <w:rPr>
          <w:sz w:val="22"/>
          <w:szCs w:val="22"/>
        </w:rPr>
        <w:t>;</w:t>
      </w:r>
    </w:p>
    <w:p w:rsidR="001F0CFD" w:rsidRPr="006E4404" w:rsidRDefault="001F0CFD" w:rsidP="001F0CFD">
      <w:pPr>
        <w:numPr>
          <w:ilvl w:val="0"/>
          <w:numId w:val="3"/>
        </w:numPr>
        <w:spacing w:after="120"/>
        <w:ind w:right="45"/>
        <w:jc w:val="both"/>
        <w:rPr>
          <w:sz w:val="22"/>
          <w:szCs w:val="22"/>
        </w:rPr>
      </w:pPr>
      <w:r w:rsidRPr="006E4404">
        <w:rPr>
          <w:sz w:val="22"/>
          <w:szCs w:val="22"/>
        </w:rPr>
        <w:t xml:space="preserve">Методические указания по инвентаризации имущества и финансовых обязательств, утвержденные приказом Минфина РФ от 13 июня 1995 г. № 49; </w:t>
      </w:r>
    </w:p>
    <w:p w:rsidR="001F0CFD" w:rsidRPr="006E4404" w:rsidRDefault="001F0CFD" w:rsidP="001F0CFD">
      <w:pPr>
        <w:numPr>
          <w:ilvl w:val="0"/>
          <w:numId w:val="3"/>
        </w:numPr>
        <w:spacing w:after="120"/>
        <w:ind w:right="45"/>
        <w:jc w:val="both"/>
        <w:rPr>
          <w:sz w:val="22"/>
          <w:szCs w:val="22"/>
        </w:rPr>
      </w:pPr>
      <w:r w:rsidRPr="006E4404">
        <w:rPr>
          <w:sz w:val="22"/>
          <w:szCs w:val="22"/>
        </w:rPr>
        <w:t>Методические указания по бухгалтерскому учету материально-производственных запасов, утвержденные приказом Минфина РФ от 28 декабря 2001 г. № 119н;</w:t>
      </w:r>
    </w:p>
    <w:p w:rsidR="001F0CFD" w:rsidRPr="006E4404" w:rsidRDefault="001F0CFD" w:rsidP="001F0CFD">
      <w:pPr>
        <w:numPr>
          <w:ilvl w:val="0"/>
          <w:numId w:val="3"/>
        </w:numPr>
        <w:spacing w:after="120"/>
        <w:ind w:right="45"/>
        <w:jc w:val="both"/>
        <w:rPr>
          <w:sz w:val="22"/>
          <w:szCs w:val="22"/>
        </w:rPr>
      </w:pPr>
      <w:r w:rsidRPr="006E4404">
        <w:rPr>
          <w:sz w:val="22"/>
          <w:szCs w:val="22"/>
        </w:rPr>
        <w:t>Методические указания по бухгалтерскому учету основных средств, утвержденные приказом Минфина РФ от 13 октября 2003 г. № 91н;</w:t>
      </w:r>
    </w:p>
    <w:p w:rsidR="001F0CFD" w:rsidRPr="006E4404" w:rsidRDefault="001F0CFD" w:rsidP="001F0CFD">
      <w:pPr>
        <w:numPr>
          <w:ilvl w:val="0"/>
          <w:numId w:val="3"/>
        </w:numPr>
        <w:spacing w:after="120"/>
        <w:ind w:right="45"/>
        <w:jc w:val="both"/>
        <w:rPr>
          <w:sz w:val="22"/>
          <w:szCs w:val="22"/>
        </w:rPr>
      </w:pPr>
      <w:r w:rsidRPr="006E4404">
        <w:rPr>
          <w:color w:val="000000"/>
          <w:sz w:val="22"/>
          <w:szCs w:val="22"/>
        </w:rPr>
        <w:t xml:space="preserve">Приказ Минфина  РФ </w:t>
      </w:r>
      <w:r w:rsidRPr="006E4404">
        <w:rPr>
          <w:sz w:val="22"/>
          <w:szCs w:val="22"/>
        </w:rPr>
        <w:t>«О формах бухгалтерской отчетности организаций» от 2 июля 2010 г. № 66н.</w:t>
      </w:r>
    </w:p>
    <w:p w:rsidR="001F0CFD" w:rsidRPr="006E4404" w:rsidRDefault="001F0CFD" w:rsidP="001F0CFD">
      <w:pPr>
        <w:numPr>
          <w:ilvl w:val="0"/>
          <w:numId w:val="7"/>
        </w:numPr>
        <w:tabs>
          <w:tab w:val="num" w:pos="1134"/>
        </w:tabs>
        <w:spacing w:after="120"/>
        <w:ind w:left="357" w:hanging="357"/>
        <w:jc w:val="both"/>
        <w:rPr>
          <w:sz w:val="22"/>
          <w:szCs w:val="22"/>
        </w:rPr>
      </w:pPr>
      <w:r w:rsidRPr="006E4404">
        <w:rPr>
          <w:sz w:val="22"/>
          <w:szCs w:val="22"/>
        </w:rPr>
        <w:t xml:space="preserve">Методические указания по бухгалтерскому учету специального инструмента, специальных приспособлений, специального оборудования и специальной одежды, утвержденные приказом </w:t>
      </w:r>
      <w:r w:rsidRPr="006E4404">
        <w:rPr>
          <w:color w:val="000000"/>
          <w:sz w:val="22"/>
          <w:szCs w:val="22"/>
        </w:rPr>
        <w:t xml:space="preserve">Минфина  РФ </w:t>
      </w:r>
      <w:r w:rsidRPr="006E4404">
        <w:rPr>
          <w:sz w:val="22"/>
          <w:szCs w:val="22"/>
        </w:rPr>
        <w:t>от 26 декабря 2002г №135н,</w:t>
      </w:r>
    </w:p>
    <w:p w:rsidR="001F0CFD" w:rsidRPr="006E4404" w:rsidRDefault="001F0CFD" w:rsidP="001F0CFD">
      <w:pPr>
        <w:numPr>
          <w:ilvl w:val="0"/>
          <w:numId w:val="3"/>
        </w:numPr>
        <w:spacing w:after="120"/>
        <w:ind w:right="45"/>
        <w:jc w:val="both"/>
        <w:rPr>
          <w:sz w:val="22"/>
          <w:szCs w:val="22"/>
        </w:rPr>
      </w:pPr>
      <w:r w:rsidRPr="006E4404">
        <w:rPr>
          <w:sz w:val="22"/>
          <w:szCs w:val="22"/>
        </w:rPr>
        <w:t>Методические указания по формированию бухгалтерской отчетности при осуществлении реорганизации организаций, утвержденные приказом Минфина РФ от 20 мая 2003 г. № 44н;</w:t>
      </w:r>
    </w:p>
    <w:p w:rsidR="001F0CFD" w:rsidRPr="006E4404" w:rsidRDefault="001F0CFD" w:rsidP="001F0CFD">
      <w:pPr>
        <w:numPr>
          <w:ilvl w:val="0"/>
          <w:numId w:val="3"/>
        </w:numPr>
        <w:spacing w:after="120"/>
        <w:ind w:right="45"/>
        <w:jc w:val="both"/>
        <w:rPr>
          <w:sz w:val="22"/>
          <w:szCs w:val="22"/>
        </w:rPr>
      </w:pPr>
      <w:r w:rsidRPr="006E4404">
        <w:rPr>
          <w:sz w:val="22"/>
          <w:szCs w:val="22"/>
        </w:rPr>
        <w:t>другие законодательные и нормативные документы.</w:t>
      </w:r>
    </w:p>
    <w:p w:rsidR="001F0CFD" w:rsidRPr="006E4404" w:rsidRDefault="001F0CFD" w:rsidP="001F0CFD">
      <w:pPr>
        <w:spacing w:after="120"/>
        <w:ind w:right="45"/>
        <w:jc w:val="both"/>
        <w:rPr>
          <w:sz w:val="22"/>
          <w:szCs w:val="22"/>
        </w:rPr>
      </w:pPr>
      <w:r w:rsidRPr="006E4404">
        <w:rPr>
          <w:sz w:val="22"/>
          <w:szCs w:val="22"/>
        </w:rPr>
        <w:lastRenderedPageBreak/>
        <w:t xml:space="preserve">1.4. Кроме настоящей Учетной политики вопросы бухгалтерского учета и отчетности регулируются также внутренними документами, к которым относятся стандарты, регламенты процесса, рабочие инструкции,  распоряжения Главного бухгалтера, а также документы отдела методологии ДКО (положения, инструкции и другие документы), разъясняющие вопросы учета и отчетности в Обществе.   </w:t>
      </w:r>
    </w:p>
    <w:p w:rsidR="001F0CFD" w:rsidRPr="006E4404" w:rsidRDefault="001F0CFD" w:rsidP="001F0CFD">
      <w:pPr>
        <w:widowControl/>
        <w:autoSpaceDE w:val="0"/>
        <w:autoSpaceDN w:val="0"/>
        <w:adjustRightInd w:val="0"/>
        <w:spacing w:after="120"/>
        <w:jc w:val="both"/>
        <w:rPr>
          <w:bCs/>
          <w:snapToGrid/>
          <w:color w:val="000000"/>
          <w:sz w:val="22"/>
          <w:szCs w:val="22"/>
        </w:rPr>
      </w:pPr>
      <w:r w:rsidRPr="006E4404">
        <w:rPr>
          <w:bCs/>
          <w:snapToGrid/>
          <w:color w:val="000000"/>
          <w:sz w:val="22"/>
          <w:szCs w:val="22"/>
        </w:rPr>
        <w:t>При возникновении противоречий в толковании учетных норм между стандартами МСФО, введенными в действие на территории Российской Федерации,  и Положениями по бухгалтерскому учету такие противоречия решаются в пользу международных стандартов.</w:t>
      </w:r>
    </w:p>
    <w:p w:rsidR="001F0CFD" w:rsidRPr="006E4404" w:rsidRDefault="001F0CFD" w:rsidP="001F0CFD">
      <w:pPr>
        <w:widowControl/>
        <w:spacing w:after="120"/>
        <w:ind w:right="-1"/>
        <w:jc w:val="both"/>
        <w:rPr>
          <w:snapToGrid/>
          <w:sz w:val="22"/>
          <w:szCs w:val="22"/>
        </w:rPr>
      </w:pPr>
      <w:r w:rsidRPr="006E4404">
        <w:rPr>
          <w:snapToGrid/>
          <w:sz w:val="22"/>
          <w:szCs w:val="22"/>
        </w:rPr>
        <w:t>1.5. Общество ведет бухгалтерский учет в соответствии с общепринятыми допущениями:</w:t>
      </w:r>
    </w:p>
    <w:p w:rsidR="001F0CFD" w:rsidRPr="006E4404" w:rsidRDefault="001F0CFD" w:rsidP="001F0CFD">
      <w:pPr>
        <w:widowControl/>
        <w:numPr>
          <w:ilvl w:val="0"/>
          <w:numId w:val="8"/>
        </w:numPr>
        <w:spacing w:after="120"/>
        <w:ind w:right="-1"/>
        <w:jc w:val="both"/>
        <w:rPr>
          <w:snapToGrid/>
          <w:sz w:val="22"/>
          <w:szCs w:val="22"/>
        </w:rPr>
      </w:pPr>
      <w:r w:rsidRPr="006E4404">
        <w:rPr>
          <w:snapToGrid/>
          <w:sz w:val="22"/>
          <w:szCs w:val="22"/>
        </w:rPr>
        <w:t>активы и обязательства Общества существуют обособленно от активов и обязательств собственников Общества и активов и обязательств других организаций (допущение имущественной обособленности), предполагая под этим допущением контроль над активами и переход рисков;</w:t>
      </w:r>
    </w:p>
    <w:p w:rsidR="001F0CFD" w:rsidRPr="006E4404" w:rsidRDefault="001F0CFD" w:rsidP="001F0CFD">
      <w:pPr>
        <w:widowControl/>
        <w:numPr>
          <w:ilvl w:val="0"/>
          <w:numId w:val="8"/>
        </w:numPr>
        <w:spacing w:after="120"/>
        <w:ind w:right="-1"/>
        <w:jc w:val="both"/>
        <w:rPr>
          <w:snapToGrid/>
          <w:sz w:val="22"/>
          <w:szCs w:val="22"/>
        </w:rPr>
      </w:pPr>
      <w:r w:rsidRPr="006E4404">
        <w:rPr>
          <w:snapToGrid/>
          <w:sz w:val="22"/>
          <w:szCs w:val="22"/>
        </w:rPr>
        <w:t>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будут погашаться в установленном порядке (допущение непрерывности деятельности);</w:t>
      </w:r>
    </w:p>
    <w:p w:rsidR="001F0CFD" w:rsidRPr="006E4404" w:rsidRDefault="001F0CFD" w:rsidP="001F0CFD">
      <w:pPr>
        <w:widowControl/>
        <w:numPr>
          <w:ilvl w:val="0"/>
          <w:numId w:val="8"/>
        </w:numPr>
        <w:spacing w:after="120"/>
        <w:ind w:left="364" w:right="-1" w:hanging="364"/>
        <w:jc w:val="both"/>
        <w:rPr>
          <w:snapToGrid/>
          <w:sz w:val="22"/>
          <w:szCs w:val="22"/>
        </w:rPr>
      </w:pPr>
      <w:r w:rsidRPr="006E4404">
        <w:rPr>
          <w:snapToGrid/>
          <w:sz w:val="22"/>
          <w:szCs w:val="22"/>
        </w:rPr>
        <w:t>принятая Обществом Учетная политика применяется последовательно от одного отчетного года к другому (допущение последовательности применения Учетной политики);</w:t>
      </w:r>
    </w:p>
    <w:p w:rsidR="001F0CFD" w:rsidRPr="006E4404" w:rsidRDefault="001F0CFD" w:rsidP="001F0CFD">
      <w:pPr>
        <w:widowControl/>
        <w:numPr>
          <w:ilvl w:val="0"/>
          <w:numId w:val="8"/>
        </w:numPr>
        <w:spacing w:after="120"/>
        <w:ind w:right="-1"/>
        <w:jc w:val="both"/>
        <w:rPr>
          <w:snapToGrid/>
          <w:sz w:val="22"/>
          <w:szCs w:val="22"/>
        </w:rPr>
      </w:pPr>
      <w:r w:rsidRPr="006E4404">
        <w:rPr>
          <w:snapToGrid/>
          <w:sz w:val="22"/>
          <w:szCs w:val="22"/>
        </w:rPr>
        <w:t>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 (допущение временной определенности фактов хозяйственной деятельности).</w:t>
      </w:r>
    </w:p>
    <w:p w:rsidR="001F0CFD" w:rsidRPr="006E4404" w:rsidRDefault="001F0CFD" w:rsidP="001F0CFD">
      <w:pPr>
        <w:widowControl/>
        <w:spacing w:after="120"/>
        <w:ind w:right="-1"/>
        <w:jc w:val="both"/>
        <w:rPr>
          <w:snapToGrid/>
          <w:sz w:val="22"/>
          <w:szCs w:val="22"/>
        </w:rPr>
      </w:pPr>
      <w:r w:rsidRPr="006E4404">
        <w:rPr>
          <w:snapToGrid/>
          <w:sz w:val="22"/>
          <w:szCs w:val="22"/>
        </w:rPr>
        <w:t>1.6. Учетная политика направлена на  обеспечение соблюдения следующих требований:</w:t>
      </w:r>
    </w:p>
    <w:p w:rsidR="001F0CFD" w:rsidRPr="006E4404" w:rsidRDefault="001F0CFD" w:rsidP="001F0CFD">
      <w:pPr>
        <w:autoSpaceDE w:val="0"/>
        <w:autoSpaceDN w:val="0"/>
        <w:adjustRightInd w:val="0"/>
        <w:spacing w:line="240" w:lineRule="atLeast"/>
        <w:jc w:val="both"/>
        <w:rPr>
          <w:color w:val="000000"/>
          <w:sz w:val="22"/>
          <w:szCs w:val="22"/>
        </w:rPr>
      </w:pPr>
      <w:r w:rsidRPr="006E4404">
        <w:rPr>
          <w:color w:val="000000"/>
          <w:sz w:val="22"/>
          <w:szCs w:val="22"/>
        </w:rPr>
        <w:t>1.6.1. Требование полноты</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Информация в финансовой отчетности должна быть полной, то есть должна содержать информацию обо всех активах и обязательствах, доходах и расходах Общества с учетом существенности и затрат на ее создание. В связи с этим при составлении отчетности необходимыми являются:</w:t>
      </w:r>
    </w:p>
    <w:p w:rsidR="001F0CFD" w:rsidRPr="006E4404" w:rsidRDefault="001F0CFD" w:rsidP="001F0CFD">
      <w:pPr>
        <w:numPr>
          <w:ilvl w:val="0"/>
          <w:numId w:val="10"/>
        </w:numPr>
        <w:tabs>
          <w:tab w:val="clear" w:pos="981"/>
          <w:tab w:val="num" w:pos="426"/>
        </w:tabs>
        <w:autoSpaceDE w:val="0"/>
        <w:autoSpaceDN w:val="0"/>
        <w:adjustRightInd w:val="0"/>
        <w:spacing w:line="240" w:lineRule="atLeast"/>
        <w:ind w:left="364"/>
        <w:jc w:val="both"/>
        <w:rPr>
          <w:color w:val="000000"/>
          <w:sz w:val="22"/>
          <w:szCs w:val="22"/>
        </w:rPr>
      </w:pPr>
      <w:r w:rsidRPr="006E4404">
        <w:rPr>
          <w:color w:val="000000"/>
          <w:sz w:val="22"/>
          <w:szCs w:val="22"/>
        </w:rPr>
        <w:t>проведение инвентаризации;</w:t>
      </w:r>
    </w:p>
    <w:p w:rsidR="001F0CFD" w:rsidRPr="006E4404" w:rsidRDefault="001F0CFD" w:rsidP="001F0CFD">
      <w:pPr>
        <w:numPr>
          <w:ilvl w:val="0"/>
          <w:numId w:val="10"/>
        </w:numPr>
        <w:tabs>
          <w:tab w:val="clear" w:pos="981"/>
          <w:tab w:val="num" w:pos="426"/>
        </w:tabs>
        <w:autoSpaceDE w:val="0"/>
        <w:autoSpaceDN w:val="0"/>
        <w:adjustRightInd w:val="0"/>
        <w:spacing w:line="240" w:lineRule="atLeast"/>
        <w:ind w:left="364"/>
        <w:jc w:val="both"/>
        <w:rPr>
          <w:color w:val="000000"/>
          <w:sz w:val="22"/>
          <w:szCs w:val="22"/>
        </w:rPr>
      </w:pPr>
      <w:r w:rsidRPr="006E4404">
        <w:rPr>
          <w:color w:val="000000"/>
          <w:sz w:val="22"/>
          <w:szCs w:val="22"/>
        </w:rPr>
        <w:t>включение всех счетов, по которым отражаются операции, в отчетность;</w:t>
      </w:r>
    </w:p>
    <w:p w:rsidR="001F0CFD" w:rsidRPr="006E4404" w:rsidRDefault="001F0CFD" w:rsidP="001F0CFD">
      <w:pPr>
        <w:numPr>
          <w:ilvl w:val="0"/>
          <w:numId w:val="10"/>
        </w:numPr>
        <w:tabs>
          <w:tab w:val="clear" w:pos="981"/>
          <w:tab w:val="num" w:pos="426"/>
        </w:tabs>
        <w:autoSpaceDE w:val="0"/>
        <w:autoSpaceDN w:val="0"/>
        <w:adjustRightInd w:val="0"/>
        <w:spacing w:line="240" w:lineRule="atLeast"/>
        <w:ind w:left="364"/>
        <w:jc w:val="both"/>
        <w:rPr>
          <w:color w:val="000000"/>
          <w:sz w:val="22"/>
          <w:szCs w:val="22"/>
        </w:rPr>
      </w:pPr>
      <w:r w:rsidRPr="006E4404">
        <w:rPr>
          <w:color w:val="000000"/>
          <w:sz w:val="22"/>
          <w:szCs w:val="22"/>
        </w:rPr>
        <w:t xml:space="preserve">оценка всей внешней и внутренней информации; </w:t>
      </w:r>
    </w:p>
    <w:p w:rsidR="001F0CFD" w:rsidRPr="006E4404" w:rsidRDefault="001F0CFD" w:rsidP="001F0CFD">
      <w:pPr>
        <w:numPr>
          <w:ilvl w:val="0"/>
          <w:numId w:val="10"/>
        </w:numPr>
        <w:tabs>
          <w:tab w:val="clear" w:pos="981"/>
          <w:tab w:val="num" w:pos="426"/>
        </w:tabs>
        <w:autoSpaceDE w:val="0"/>
        <w:autoSpaceDN w:val="0"/>
        <w:adjustRightInd w:val="0"/>
        <w:spacing w:line="240" w:lineRule="atLeast"/>
        <w:ind w:left="364"/>
        <w:jc w:val="both"/>
        <w:rPr>
          <w:color w:val="000000"/>
          <w:sz w:val="22"/>
          <w:szCs w:val="22"/>
        </w:rPr>
      </w:pPr>
      <w:r w:rsidRPr="006E4404">
        <w:rPr>
          <w:color w:val="000000"/>
          <w:sz w:val="22"/>
          <w:szCs w:val="22"/>
        </w:rPr>
        <w:t>проверка существования возможных рисков и условных обязательств (например, по  имеющимся договорам, судебным спорам, финансовым обязательствам и т.д.);</w:t>
      </w:r>
    </w:p>
    <w:p w:rsidR="001F0CFD" w:rsidRPr="006E4404" w:rsidRDefault="001F0CFD" w:rsidP="001F0CFD">
      <w:pPr>
        <w:numPr>
          <w:ilvl w:val="0"/>
          <w:numId w:val="10"/>
        </w:numPr>
        <w:tabs>
          <w:tab w:val="clear" w:pos="981"/>
          <w:tab w:val="num" w:pos="426"/>
        </w:tabs>
        <w:autoSpaceDE w:val="0"/>
        <w:autoSpaceDN w:val="0"/>
        <w:adjustRightInd w:val="0"/>
        <w:spacing w:after="120" w:line="240" w:lineRule="atLeast"/>
        <w:ind w:left="364"/>
        <w:jc w:val="both"/>
        <w:rPr>
          <w:color w:val="000000"/>
          <w:sz w:val="22"/>
          <w:szCs w:val="22"/>
        </w:rPr>
      </w:pPr>
      <w:r w:rsidRPr="006E4404">
        <w:rPr>
          <w:color w:val="000000"/>
          <w:sz w:val="22"/>
          <w:szCs w:val="22"/>
        </w:rPr>
        <w:t>учет событий, возникших после отчетной даты.</w:t>
      </w:r>
    </w:p>
    <w:p w:rsidR="001F0CFD" w:rsidRPr="006E4404" w:rsidRDefault="001F0CFD" w:rsidP="001F0CFD">
      <w:pPr>
        <w:jc w:val="both"/>
        <w:rPr>
          <w:sz w:val="22"/>
          <w:szCs w:val="22"/>
        </w:rPr>
      </w:pPr>
      <w:r w:rsidRPr="006E4404">
        <w:rPr>
          <w:sz w:val="22"/>
          <w:szCs w:val="22"/>
        </w:rPr>
        <w:t>Существенной признается информация, которая может оказать существенное влияние на пользователей бухгалтерской отчетности при принятии ими решений. При определении существенности отдельных фактов хозяйственной деятельности могут быть применены количественные и/или качественные оценки.</w:t>
      </w:r>
    </w:p>
    <w:p w:rsidR="001F0CFD" w:rsidRPr="006E4404" w:rsidRDefault="001F0CFD" w:rsidP="001F0CFD">
      <w:pPr>
        <w:jc w:val="both"/>
        <w:rPr>
          <w:sz w:val="22"/>
          <w:szCs w:val="22"/>
        </w:rPr>
      </w:pPr>
      <w:r w:rsidRPr="006E4404">
        <w:rPr>
          <w:sz w:val="22"/>
          <w:szCs w:val="22"/>
        </w:rPr>
        <w:t xml:space="preserve">При выборе количественной оценки в целях раскрытия информации в бухгалтерской отчетности существенной может быть признана сумма, отношение которой к общему итогу одноименных показателей составляет не менее 5 %. </w:t>
      </w:r>
    </w:p>
    <w:p w:rsidR="001F0CFD" w:rsidRPr="006E4404" w:rsidRDefault="001F0CFD" w:rsidP="001F0CFD">
      <w:pPr>
        <w:jc w:val="both"/>
        <w:rPr>
          <w:sz w:val="22"/>
          <w:szCs w:val="22"/>
        </w:rPr>
      </w:pPr>
      <w:r w:rsidRPr="006E4404">
        <w:rPr>
          <w:sz w:val="22"/>
          <w:szCs w:val="22"/>
        </w:rPr>
        <w:t>Кроме того, при оценке существенности отдельных фактов хозяйственной деятельности должны быть приняты во внимание качественные оценки возникающих последствий: налоговые, имиджевые, производственные, коммерческие риски.</w:t>
      </w:r>
    </w:p>
    <w:p w:rsidR="001F0CFD" w:rsidRPr="006E4404" w:rsidRDefault="001F0CFD" w:rsidP="001F0CFD">
      <w:pPr>
        <w:jc w:val="both"/>
        <w:rPr>
          <w:sz w:val="22"/>
          <w:szCs w:val="22"/>
        </w:rPr>
      </w:pPr>
      <w:r w:rsidRPr="006E4404">
        <w:rPr>
          <w:sz w:val="22"/>
          <w:szCs w:val="22"/>
        </w:rPr>
        <w:t xml:space="preserve">В целях бухгалтерского учета уровень существенности может быть выбран ниже показателя 5%.  </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 xml:space="preserve">Оценка существенности фактов хозяйственной деятельности может определяться </w:t>
      </w:r>
      <w:r w:rsidRPr="006E4404">
        <w:rPr>
          <w:sz w:val="22"/>
          <w:szCs w:val="22"/>
        </w:rPr>
        <w:t xml:space="preserve">на основании собственного профессионального суждения Главного бухгалтера Общества, Главного бухгалтера Макро-региона «Москва», Директора департамента по сводной отчетности ЕЦО, Директора департамента по ведению учета ЕЦО, в соответствии  с законодательством РФ, условиями хозяйственной деятельности. </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1.6.2. Требование своевременности</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 xml:space="preserve">Факты хозяйственной деятельности должны отражаться в бухгалтерском учете и бухгалтерской отчетности своевременно. </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lastRenderedPageBreak/>
        <w:t xml:space="preserve">В целях обеспечения выполнения требований полноты и своевременности отражения в бухгалтерском учете и бухгалтерской отчетности  фактов хозяйственной деятельности последние отражаются в том отчетном периоде, в котором они имели место, на основании информации, подготовленной лицами, ответственными за ее предоставление. </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1.6.3. Требование осмотрительности</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Осмотрительность – это использование определенной степени осторожности в процессе формирования суждений, необходимых при проведении расчетов и учетных оценок, требуемых в условиях неопределенности так, чтобы активы и доходы не были завышены, а обязательства или расходы – занижены. Данное требование обеспечивается большей готовностью к признанию в бухгалтерском учете расходов и обязательств, чем возможных доходов и активов, не допуская создания скрытых резервов.</w:t>
      </w:r>
    </w:p>
    <w:p w:rsidR="001F0CFD" w:rsidRPr="006E4404" w:rsidRDefault="001F0CFD" w:rsidP="001F0CFD">
      <w:pPr>
        <w:autoSpaceDE w:val="0"/>
        <w:autoSpaceDN w:val="0"/>
        <w:adjustRightInd w:val="0"/>
        <w:spacing w:before="120" w:after="120" w:line="240" w:lineRule="atLeast"/>
        <w:jc w:val="both"/>
        <w:rPr>
          <w:color w:val="000000"/>
          <w:sz w:val="22"/>
          <w:szCs w:val="22"/>
        </w:rPr>
      </w:pPr>
      <w:r w:rsidRPr="006E4404">
        <w:rPr>
          <w:color w:val="000000"/>
          <w:sz w:val="22"/>
          <w:szCs w:val="22"/>
        </w:rPr>
        <w:t xml:space="preserve">В частности, Общество может признавать дебиторскую задолженность нереальной для взыскания (до срока истечения исковой давности), на основании результатов собственного расследования при условии проведения регламентированных процедур, если затраты на взыскание дебиторской задолженности превышают  возможные поступления экономических выгод.  </w:t>
      </w:r>
    </w:p>
    <w:p w:rsidR="001F0CFD" w:rsidRPr="006E4404" w:rsidRDefault="001F0CFD" w:rsidP="001F0CFD">
      <w:pPr>
        <w:autoSpaceDE w:val="0"/>
        <w:autoSpaceDN w:val="0"/>
        <w:adjustRightInd w:val="0"/>
        <w:spacing w:after="120" w:line="240" w:lineRule="atLeast"/>
        <w:jc w:val="both"/>
        <w:rPr>
          <w:color w:val="000000"/>
          <w:sz w:val="22"/>
          <w:szCs w:val="22"/>
        </w:rPr>
      </w:pPr>
      <w:r w:rsidRPr="006E4404">
        <w:rPr>
          <w:color w:val="000000"/>
          <w:sz w:val="22"/>
          <w:szCs w:val="22"/>
        </w:rPr>
        <w:t>1.6.4. Требование приоритета содержания перед формой</w:t>
      </w:r>
    </w:p>
    <w:p w:rsidR="001F0CFD" w:rsidRPr="006E4404" w:rsidRDefault="001F0CFD" w:rsidP="001F0CFD">
      <w:pPr>
        <w:autoSpaceDE w:val="0"/>
        <w:autoSpaceDN w:val="0"/>
        <w:adjustRightInd w:val="0"/>
        <w:spacing w:after="120" w:line="240" w:lineRule="atLeast"/>
        <w:jc w:val="both"/>
        <w:rPr>
          <w:color w:val="000000"/>
          <w:sz w:val="22"/>
          <w:szCs w:val="22"/>
        </w:rPr>
      </w:pPr>
      <w:r w:rsidRPr="006E4404">
        <w:rPr>
          <w:color w:val="000000"/>
          <w:sz w:val="22"/>
          <w:szCs w:val="22"/>
        </w:rPr>
        <w:t>В соответствии с этим требованием экономическая сущность событий имеет большее значение по сравнению с их формальным, юридическим оформлением. Отражению в учете и  отчетности подлежит экономическая сущность того или иного события, т. е. в бухгалтерском учете и отчетности факты хозяйственной деятельности должны отражаться исходя не столько из их правовой формы, сколько  из экономического содержания и условий хозяйствования.</w:t>
      </w:r>
    </w:p>
    <w:p w:rsidR="001F0CFD" w:rsidRPr="006E4404" w:rsidRDefault="001F0CFD" w:rsidP="001F0CFD">
      <w:pPr>
        <w:autoSpaceDE w:val="0"/>
        <w:autoSpaceDN w:val="0"/>
        <w:adjustRightInd w:val="0"/>
        <w:spacing w:after="120" w:line="240" w:lineRule="atLeast"/>
        <w:jc w:val="both"/>
        <w:rPr>
          <w:color w:val="000000"/>
          <w:sz w:val="22"/>
          <w:szCs w:val="22"/>
        </w:rPr>
      </w:pPr>
      <w:r w:rsidRPr="006E4404">
        <w:rPr>
          <w:color w:val="000000"/>
          <w:sz w:val="22"/>
          <w:szCs w:val="22"/>
        </w:rPr>
        <w:t>1.6.5. Требование непротиворечивости</w:t>
      </w:r>
    </w:p>
    <w:p w:rsidR="001F0CFD" w:rsidRPr="006E4404" w:rsidRDefault="001F0CFD" w:rsidP="001F0CFD">
      <w:pPr>
        <w:autoSpaceDE w:val="0"/>
        <w:autoSpaceDN w:val="0"/>
        <w:adjustRightInd w:val="0"/>
        <w:spacing w:after="120" w:line="240" w:lineRule="atLeast"/>
        <w:jc w:val="both"/>
        <w:rPr>
          <w:color w:val="000000"/>
          <w:sz w:val="22"/>
          <w:szCs w:val="22"/>
        </w:rPr>
      </w:pPr>
      <w:r w:rsidRPr="006E4404">
        <w:rPr>
          <w:color w:val="000000"/>
          <w:sz w:val="22"/>
          <w:szCs w:val="22"/>
        </w:rPr>
        <w:t xml:space="preserve">Данные аналитического учета должны быть тождественны остаткам и оборотам  по счетам синтетического учета на последний календарный день каждого месяца.    </w:t>
      </w:r>
    </w:p>
    <w:p w:rsidR="001F0CFD" w:rsidRPr="006E4404" w:rsidRDefault="001F0CFD" w:rsidP="001F0CFD">
      <w:pPr>
        <w:autoSpaceDE w:val="0"/>
        <w:autoSpaceDN w:val="0"/>
        <w:adjustRightInd w:val="0"/>
        <w:spacing w:after="120" w:line="240" w:lineRule="atLeast"/>
        <w:jc w:val="both"/>
        <w:rPr>
          <w:color w:val="000000"/>
          <w:sz w:val="22"/>
          <w:szCs w:val="22"/>
        </w:rPr>
      </w:pPr>
      <w:r w:rsidRPr="006E4404">
        <w:rPr>
          <w:color w:val="000000"/>
          <w:sz w:val="22"/>
          <w:szCs w:val="22"/>
        </w:rPr>
        <w:t>1.6.6. Требование рациональности</w:t>
      </w:r>
    </w:p>
    <w:p w:rsidR="001F0CFD" w:rsidRPr="006E4404" w:rsidRDefault="001F0CFD" w:rsidP="001F0CFD">
      <w:pPr>
        <w:autoSpaceDE w:val="0"/>
        <w:autoSpaceDN w:val="0"/>
        <w:adjustRightInd w:val="0"/>
        <w:spacing w:after="120" w:line="240" w:lineRule="atLeast"/>
        <w:jc w:val="both"/>
        <w:rPr>
          <w:snapToGrid/>
          <w:sz w:val="22"/>
          <w:szCs w:val="22"/>
        </w:rPr>
      </w:pPr>
      <w:r w:rsidRPr="006E4404">
        <w:rPr>
          <w:color w:val="000000"/>
          <w:sz w:val="22"/>
          <w:szCs w:val="22"/>
        </w:rPr>
        <w:t xml:space="preserve">При выборе конкретных способов оценок и способов ведения бухгалтерского учета Общество должно учитывать экономические условия хозяйствования и отношение величины  хозяйственных операций, для которых данные способы планируется применять, к итоговым величинам чистых активов или соответствующих показателей Отчета о прибылях и убытках.  </w:t>
      </w:r>
    </w:p>
    <w:p w:rsidR="001F0CFD" w:rsidRPr="006E4404" w:rsidRDefault="001F0CFD" w:rsidP="001F0CFD">
      <w:pPr>
        <w:shd w:val="clear" w:color="auto" w:fill="FFFFFF"/>
        <w:spacing w:after="120"/>
        <w:jc w:val="both"/>
        <w:rPr>
          <w:sz w:val="22"/>
          <w:szCs w:val="22"/>
        </w:rPr>
      </w:pPr>
      <w:r w:rsidRPr="006E4404">
        <w:rPr>
          <w:snapToGrid/>
          <w:sz w:val="22"/>
          <w:szCs w:val="22"/>
        </w:rPr>
        <w:t>1.7.</w:t>
      </w:r>
      <w:r w:rsidRPr="006E4404">
        <w:rPr>
          <w:sz w:val="22"/>
          <w:szCs w:val="22"/>
        </w:rPr>
        <w:t xml:space="preserve"> Изменение Учетной политики производится в случаях:</w:t>
      </w:r>
    </w:p>
    <w:p w:rsidR="001F0CFD" w:rsidRPr="006E4404" w:rsidRDefault="001F0CFD" w:rsidP="001F0CFD">
      <w:pPr>
        <w:numPr>
          <w:ilvl w:val="0"/>
          <w:numId w:val="9"/>
        </w:numPr>
        <w:spacing w:after="120"/>
        <w:ind w:right="45"/>
        <w:jc w:val="both"/>
        <w:rPr>
          <w:sz w:val="22"/>
          <w:szCs w:val="22"/>
        </w:rPr>
      </w:pPr>
      <w:r w:rsidRPr="006E4404">
        <w:rPr>
          <w:sz w:val="22"/>
          <w:szCs w:val="22"/>
        </w:rPr>
        <w:t xml:space="preserve">изменения требований, установленных законодательством Российской Федерации о бухгалтерском учете, федеральными и (или) отраслевыми стандартами; </w:t>
      </w:r>
    </w:p>
    <w:p w:rsidR="001F0CFD" w:rsidRPr="006E4404" w:rsidRDefault="001F0CFD" w:rsidP="001F0CFD">
      <w:pPr>
        <w:numPr>
          <w:ilvl w:val="0"/>
          <w:numId w:val="9"/>
        </w:numPr>
        <w:spacing w:after="120"/>
        <w:ind w:right="45"/>
        <w:jc w:val="both"/>
        <w:rPr>
          <w:sz w:val="22"/>
          <w:szCs w:val="22"/>
        </w:rPr>
      </w:pPr>
      <w:r w:rsidRPr="006E4404">
        <w:rPr>
          <w:sz w:val="22"/>
          <w:szCs w:val="22"/>
        </w:rPr>
        <w:t>разработки или выборе нового способа ведения бухгалтерского учета, применение которого приводит к повышению качества информации об объекте бухгалтерского учета или меньшую трудоемкость учетного процесса без снижения степени достоверности информации;</w:t>
      </w:r>
    </w:p>
    <w:p w:rsidR="001F0CFD" w:rsidRPr="006E4404" w:rsidRDefault="001F0CFD" w:rsidP="001F0CFD">
      <w:pPr>
        <w:numPr>
          <w:ilvl w:val="0"/>
          <w:numId w:val="9"/>
        </w:numPr>
        <w:spacing w:after="120"/>
        <w:ind w:right="45"/>
        <w:jc w:val="both"/>
        <w:rPr>
          <w:sz w:val="22"/>
          <w:szCs w:val="22"/>
        </w:rPr>
      </w:pPr>
      <w:r w:rsidRPr="006E4404">
        <w:rPr>
          <w:sz w:val="22"/>
          <w:szCs w:val="22"/>
        </w:rPr>
        <w:t xml:space="preserve">существенного изменения условий деятельности, связанных с реорганизацией Общества (слияния, разделения, присоединения), внутренних структурных преобразований, разработкой и внедрением систем автоматизации процессов управления, и т.п. </w:t>
      </w:r>
    </w:p>
    <w:p w:rsidR="001F0CFD" w:rsidRPr="006E4404" w:rsidRDefault="001F0CFD" w:rsidP="001F0CFD">
      <w:pPr>
        <w:spacing w:after="120"/>
        <w:ind w:right="45"/>
        <w:jc w:val="both"/>
        <w:rPr>
          <w:sz w:val="22"/>
          <w:szCs w:val="22"/>
        </w:rPr>
      </w:pPr>
      <w:r w:rsidRPr="006E4404">
        <w:rPr>
          <w:sz w:val="22"/>
          <w:szCs w:val="22"/>
        </w:rPr>
        <w:t>Если при формировании Учетной политики по конкретному вопросу организации и ведения бухгалтерского учета в нормативных правовых актах не установлены способы ведения бухгалтерского учета, то разработка способа осуществляется исходя из соблюдения принципов  и требований организации и ведения бухгалтерского учета, Международных стандартов финансовой отчетности.</w:t>
      </w:r>
    </w:p>
    <w:p w:rsidR="001F0CFD" w:rsidRPr="006E4404" w:rsidRDefault="001F0CFD" w:rsidP="001F0CFD">
      <w:pPr>
        <w:spacing w:after="120"/>
        <w:ind w:right="45"/>
        <w:jc w:val="both"/>
        <w:rPr>
          <w:sz w:val="22"/>
          <w:szCs w:val="22"/>
        </w:rPr>
      </w:pPr>
      <w:r w:rsidRPr="006E4404">
        <w:rPr>
          <w:sz w:val="22"/>
          <w:szCs w:val="22"/>
        </w:rPr>
        <w:t xml:space="preserve">Учетная политика может быть дополнена в течение года при выборе способов ведения бухгалтерского учета, отражающих факты хозяйственной деятельности, которые возникли впервые в деятельности Общества, описание которых отсутствует в нормативных правовых актах, либо связано с противоречиями в законодательстве, а также в других случаях, обусловленных спецификой условий хозяйствования. Изменения и дополнения оформляются в виде организационно-распорядительных документов (приказов, распоряжений). </w:t>
      </w:r>
    </w:p>
    <w:p w:rsidR="001F0CFD" w:rsidRPr="006E4404" w:rsidRDefault="001F0CFD" w:rsidP="001F0CFD">
      <w:pPr>
        <w:pStyle w:val="22"/>
        <w:spacing w:before="60" w:after="60"/>
        <w:jc w:val="both"/>
        <w:rPr>
          <w:sz w:val="22"/>
          <w:szCs w:val="22"/>
        </w:rPr>
      </w:pPr>
      <w:r w:rsidRPr="006E4404">
        <w:rPr>
          <w:sz w:val="22"/>
          <w:szCs w:val="22"/>
        </w:rPr>
        <w:t xml:space="preserve">Последствия изменения учетной политики в связи с изменением законодательства Российской Федерации отражаются в бухгалтерском учете и отчетности в порядке, установленном соответствующими нормативными правовыми актами. Если в этих документах не устанавливается порядок отражения последствий изменения учетной политики, а также при смене одного способа учета на другой для уже отражаемых в учете и отчетности событий и фактов, такие последствия изменений отражаются в бухгалтерской отчетности ретроспективно в случае их существенности. </w:t>
      </w:r>
    </w:p>
    <w:p w:rsidR="001F0CFD" w:rsidRPr="006E4404" w:rsidRDefault="001F0CFD" w:rsidP="001F0CFD">
      <w:pPr>
        <w:pStyle w:val="22"/>
        <w:spacing w:before="60" w:after="60"/>
        <w:jc w:val="both"/>
        <w:rPr>
          <w:sz w:val="22"/>
          <w:szCs w:val="22"/>
        </w:rPr>
      </w:pPr>
      <w:r w:rsidRPr="006E4404">
        <w:rPr>
          <w:sz w:val="22"/>
          <w:szCs w:val="22"/>
        </w:rPr>
        <w:t xml:space="preserve">В качестве примера изменения способа учета можно привести порядок отражения части доходов в качестве доходов будущих периодов, учитывая специфику деятельности Общества,  что приводит к повышению достоверности отражения фактов хозяйственной деятельности. </w:t>
      </w:r>
    </w:p>
    <w:p w:rsidR="001F0CFD" w:rsidRPr="006E4404" w:rsidRDefault="001F0CFD" w:rsidP="001F0CFD">
      <w:pPr>
        <w:pStyle w:val="22"/>
        <w:spacing w:before="60" w:after="60"/>
        <w:jc w:val="both"/>
        <w:rPr>
          <w:sz w:val="22"/>
          <w:szCs w:val="22"/>
        </w:rPr>
      </w:pPr>
      <w:r w:rsidRPr="006E4404">
        <w:rPr>
          <w:sz w:val="22"/>
          <w:szCs w:val="22"/>
        </w:rPr>
        <w:t>При ретроспективном отражении последствий изменения учетной политики исходят из предположения, что как будто бы новые способы учета применялись с момента возникновения фактов хозяйственной деятельности данного вида. Эффект отражается путем изменения суммы нераспределенной прибыли прошлых лет на начало самого первого приводимого в отчетности периода.</w:t>
      </w:r>
    </w:p>
    <w:p w:rsidR="001F0CFD" w:rsidRPr="006E4404" w:rsidRDefault="001F0CFD" w:rsidP="001F0CFD">
      <w:pPr>
        <w:pStyle w:val="22"/>
        <w:spacing w:before="60" w:after="60"/>
        <w:jc w:val="both"/>
        <w:rPr>
          <w:sz w:val="22"/>
          <w:szCs w:val="22"/>
        </w:rPr>
      </w:pPr>
      <w:r w:rsidRPr="006E4404">
        <w:rPr>
          <w:sz w:val="22"/>
          <w:szCs w:val="22"/>
        </w:rPr>
        <w:t xml:space="preserve"> Величина эффекта определяется как разница между:</w:t>
      </w:r>
    </w:p>
    <w:p w:rsidR="001F0CFD" w:rsidRPr="006E4404" w:rsidRDefault="001F0CFD" w:rsidP="001F0CFD">
      <w:pPr>
        <w:pStyle w:val="Text"/>
        <w:widowControl/>
        <w:numPr>
          <w:ilvl w:val="0"/>
          <w:numId w:val="11"/>
        </w:numPr>
        <w:tabs>
          <w:tab w:val="clear" w:pos="284"/>
        </w:tabs>
        <w:spacing w:before="60" w:after="60"/>
        <w:ind w:left="720"/>
        <w:rPr>
          <w:szCs w:val="22"/>
          <w:lang w:val="ru-RU"/>
        </w:rPr>
      </w:pPr>
      <w:r w:rsidRPr="006E4404">
        <w:rPr>
          <w:szCs w:val="22"/>
          <w:lang w:val="ru-RU"/>
        </w:rPr>
        <w:t xml:space="preserve">суммой нераспределенной прибыли на начало отчетного периода и </w:t>
      </w:r>
    </w:p>
    <w:p w:rsidR="001F0CFD" w:rsidRPr="006E4404" w:rsidRDefault="001F0CFD" w:rsidP="001F0CFD">
      <w:pPr>
        <w:numPr>
          <w:ilvl w:val="0"/>
          <w:numId w:val="11"/>
        </w:numPr>
        <w:spacing w:before="60" w:after="60"/>
        <w:ind w:left="720"/>
        <w:jc w:val="both"/>
        <w:rPr>
          <w:sz w:val="22"/>
          <w:szCs w:val="22"/>
        </w:rPr>
      </w:pPr>
      <w:r w:rsidRPr="006E4404">
        <w:rPr>
          <w:sz w:val="22"/>
          <w:szCs w:val="22"/>
        </w:rPr>
        <w:t xml:space="preserve">суммой нераспределенной прибыли на начало отчетного периода, </w:t>
      </w:r>
      <w:r w:rsidRPr="006E4404">
        <w:rPr>
          <w:iCs/>
          <w:sz w:val="22"/>
          <w:szCs w:val="22"/>
        </w:rPr>
        <w:t>которая была бы, если бы новые способы учета применялись уже в прошлых периодах.</w:t>
      </w:r>
    </w:p>
    <w:p w:rsidR="001F0CFD" w:rsidRPr="006E4404" w:rsidRDefault="001F0CFD" w:rsidP="001F0CFD">
      <w:pPr>
        <w:spacing w:before="60" w:after="60"/>
        <w:jc w:val="both"/>
        <w:rPr>
          <w:sz w:val="22"/>
          <w:szCs w:val="22"/>
        </w:rPr>
      </w:pPr>
      <w:r w:rsidRPr="006E4404">
        <w:rPr>
          <w:sz w:val="22"/>
          <w:szCs w:val="22"/>
        </w:rPr>
        <w:t>При этом сумма разницы отражается за вычетом возникающего в результате отложенного налога на прибыль. Финансовый результат отчетного года определяется на основе применения новых способов учета. Если величина эффекта составляет величину не более 5 % от суммы нераспределенной прибыли на начало самого первого приводимого в отчетности периода, то корректировка отражения последствий изменения учетной политики ретроспективным способом не производится.</w:t>
      </w:r>
    </w:p>
    <w:p w:rsidR="001F0CFD" w:rsidRPr="006E4404" w:rsidRDefault="001F0CFD" w:rsidP="001F0CFD">
      <w:pPr>
        <w:pStyle w:val="21"/>
        <w:spacing w:before="120" w:after="120"/>
        <w:ind w:right="45" w:firstLine="0"/>
        <w:rPr>
          <w:snapToGrid w:val="0"/>
          <w:sz w:val="22"/>
          <w:szCs w:val="22"/>
        </w:rPr>
      </w:pPr>
      <w:r w:rsidRPr="006E4404">
        <w:rPr>
          <w:snapToGrid w:val="0"/>
          <w:sz w:val="22"/>
          <w:szCs w:val="22"/>
        </w:rPr>
        <w:t xml:space="preserve">Если оценка в денежном выражении последствий изменения учетной политики в отношении периодов, предшествующих отчетному, не может быть проведена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перспективно без изменения показателей суммы нераспределенной прибыли на начало отчетного периода. </w:t>
      </w:r>
    </w:p>
    <w:p w:rsidR="001F0CFD" w:rsidRPr="006E4404" w:rsidRDefault="001F0CFD" w:rsidP="001F0CFD">
      <w:pPr>
        <w:pStyle w:val="22"/>
        <w:spacing w:after="120"/>
        <w:jc w:val="both"/>
        <w:rPr>
          <w:sz w:val="22"/>
          <w:szCs w:val="22"/>
        </w:rPr>
      </w:pPr>
      <w:r w:rsidRPr="006E4404">
        <w:rPr>
          <w:sz w:val="22"/>
          <w:szCs w:val="22"/>
        </w:rPr>
        <w:t>1.8. Понятие справедливой (рыночной) стоимости</w:t>
      </w:r>
    </w:p>
    <w:p w:rsidR="001F0CFD" w:rsidRPr="006E4404" w:rsidRDefault="001F0CFD" w:rsidP="001F0CFD">
      <w:pPr>
        <w:widowControl/>
        <w:autoSpaceDE w:val="0"/>
        <w:autoSpaceDN w:val="0"/>
        <w:adjustRightInd w:val="0"/>
        <w:spacing w:before="120"/>
        <w:jc w:val="both"/>
        <w:rPr>
          <w:snapToGrid/>
          <w:color w:val="000000"/>
          <w:sz w:val="22"/>
          <w:szCs w:val="22"/>
        </w:rPr>
      </w:pPr>
      <w:r w:rsidRPr="006E4404">
        <w:rPr>
          <w:snapToGrid/>
          <w:color w:val="000000"/>
          <w:sz w:val="22"/>
          <w:szCs w:val="22"/>
        </w:rPr>
        <w:t xml:space="preserve">Для целей настоящей Учетной политики справедливой (рыночной) стоимостью актива признается цена, которая может быть получена при продаже актива (или же заплачена при передаче обязательства) в рамках обычной операции по совершению сделки между участниками рынка на дату измерения. </w:t>
      </w:r>
    </w:p>
    <w:p w:rsidR="001F0CFD" w:rsidRPr="006E4404" w:rsidRDefault="001F0CFD" w:rsidP="001F0CFD">
      <w:pPr>
        <w:widowControl/>
        <w:autoSpaceDE w:val="0"/>
        <w:autoSpaceDN w:val="0"/>
        <w:adjustRightInd w:val="0"/>
        <w:spacing w:before="120"/>
        <w:jc w:val="both"/>
        <w:rPr>
          <w:bCs/>
          <w:snapToGrid/>
          <w:color w:val="000000"/>
          <w:sz w:val="22"/>
          <w:szCs w:val="22"/>
        </w:rPr>
      </w:pPr>
      <w:r w:rsidRPr="006E4404">
        <w:rPr>
          <w:bCs/>
          <w:snapToGrid/>
          <w:color w:val="000000"/>
          <w:sz w:val="22"/>
          <w:szCs w:val="22"/>
        </w:rPr>
        <w:t xml:space="preserve">1.8.1. Иерархия справедливой (рыночной) стоимости </w:t>
      </w:r>
    </w:p>
    <w:p w:rsidR="001F0CFD" w:rsidRPr="006E4404" w:rsidRDefault="001F0CFD" w:rsidP="001F0CFD">
      <w:pPr>
        <w:widowControl/>
        <w:autoSpaceDE w:val="0"/>
        <w:autoSpaceDN w:val="0"/>
        <w:adjustRightInd w:val="0"/>
        <w:spacing w:before="240"/>
        <w:jc w:val="both"/>
        <w:rPr>
          <w:snapToGrid/>
          <w:color w:val="000000"/>
          <w:sz w:val="22"/>
          <w:szCs w:val="22"/>
        </w:rPr>
      </w:pPr>
      <w:r w:rsidRPr="006E4404">
        <w:rPr>
          <w:snapToGrid/>
          <w:color w:val="000000"/>
          <w:sz w:val="22"/>
          <w:szCs w:val="22"/>
        </w:rPr>
        <w:t>Измерения по справедливой (рыночной) стоимости подразделяются на три уровня в зависимости от того, где максимально используются наблюдаемые данные и в минимальной степени  ненаблюдаемые:</w:t>
      </w:r>
    </w:p>
    <w:p w:rsidR="001F0CFD" w:rsidRPr="006E4404" w:rsidRDefault="001F0CFD" w:rsidP="001F0CFD">
      <w:pPr>
        <w:widowControl/>
        <w:numPr>
          <w:ilvl w:val="0"/>
          <w:numId w:val="12"/>
        </w:numPr>
        <w:tabs>
          <w:tab w:val="clear" w:pos="720"/>
          <w:tab w:val="num" w:pos="426"/>
        </w:tabs>
        <w:autoSpaceDE w:val="0"/>
        <w:autoSpaceDN w:val="0"/>
        <w:adjustRightInd w:val="0"/>
        <w:ind w:left="426" w:hanging="426"/>
        <w:jc w:val="both"/>
        <w:rPr>
          <w:snapToGrid/>
          <w:color w:val="000000"/>
          <w:sz w:val="22"/>
          <w:szCs w:val="22"/>
        </w:rPr>
      </w:pPr>
      <w:r w:rsidRPr="006E4404">
        <w:rPr>
          <w:snapToGrid/>
          <w:color w:val="000000"/>
          <w:sz w:val="22"/>
          <w:szCs w:val="22"/>
        </w:rPr>
        <w:t>первый уровень: котировки активных рынков для идентичных активов и обязательств, данные по которым организация может получить на дату измерения;</w:t>
      </w:r>
    </w:p>
    <w:p w:rsidR="001F0CFD" w:rsidRPr="006E4404" w:rsidRDefault="001F0CFD" w:rsidP="001F0CFD">
      <w:pPr>
        <w:widowControl/>
        <w:numPr>
          <w:ilvl w:val="0"/>
          <w:numId w:val="12"/>
        </w:numPr>
        <w:tabs>
          <w:tab w:val="clear" w:pos="720"/>
          <w:tab w:val="num" w:pos="426"/>
        </w:tabs>
        <w:autoSpaceDE w:val="0"/>
        <w:autoSpaceDN w:val="0"/>
        <w:adjustRightInd w:val="0"/>
        <w:ind w:left="426" w:hanging="426"/>
        <w:jc w:val="both"/>
        <w:rPr>
          <w:snapToGrid/>
          <w:color w:val="000000"/>
          <w:sz w:val="22"/>
          <w:szCs w:val="22"/>
        </w:rPr>
      </w:pPr>
      <w:r w:rsidRPr="006E4404">
        <w:rPr>
          <w:snapToGrid/>
          <w:color w:val="000000"/>
          <w:sz w:val="22"/>
          <w:szCs w:val="22"/>
        </w:rPr>
        <w:t>второй уровень: данные, отличные от котировок, оговоренных в предыдущем пункте, которые являются наблюдаемыми применительно к активу или обязательству, прямо либо косвенно;</w:t>
      </w:r>
    </w:p>
    <w:p w:rsidR="001F0CFD" w:rsidRPr="006E4404" w:rsidRDefault="001F0CFD" w:rsidP="001F0CFD">
      <w:pPr>
        <w:widowControl/>
        <w:numPr>
          <w:ilvl w:val="0"/>
          <w:numId w:val="12"/>
        </w:numPr>
        <w:tabs>
          <w:tab w:val="clear" w:pos="720"/>
          <w:tab w:val="num" w:pos="426"/>
        </w:tabs>
        <w:autoSpaceDE w:val="0"/>
        <w:autoSpaceDN w:val="0"/>
        <w:adjustRightInd w:val="0"/>
        <w:ind w:left="426" w:hanging="426"/>
        <w:jc w:val="both"/>
        <w:rPr>
          <w:snapToGrid/>
          <w:color w:val="000000"/>
          <w:sz w:val="22"/>
          <w:szCs w:val="22"/>
        </w:rPr>
      </w:pPr>
      <w:r w:rsidRPr="006E4404">
        <w:rPr>
          <w:snapToGrid/>
          <w:color w:val="000000"/>
          <w:sz w:val="22"/>
          <w:szCs w:val="22"/>
        </w:rPr>
        <w:t>третий уровень: ненаблюдаемые данные.</w:t>
      </w:r>
    </w:p>
    <w:p w:rsidR="001F0CFD" w:rsidRPr="006E4404" w:rsidRDefault="001F0CFD" w:rsidP="001F0CFD">
      <w:pPr>
        <w:widowControl/>
        <w:autoSpaceDE w:val="0"/>
        <w:autoSpaceDN w:val="0"/>
        <w:adjustRightInd w:val="0"/>
        <w:spacing w:before="240"/>
        <w:jc w:val="both"/>
        <w:rPr>
          <w:bCs/>
          <w:snapToGrid/>
          <w:color w:val="000000"/>
          <w:sz w:val="22"/>
          <w:szCs w:val="22"/>
        </w:rPr>
      </w:pPr>
      <w:r w:rsidRPr="006E4404">
        <w:rPr>
          <w:bCs/>
          <w:snapToGrid/>
          <w:color w:val="000000"/>
          <w:sz w:val="22"/>
          <w:szCs w:val="22"/>
        </w:rPr>
        <w:t xml:space="preserve">1.8.2. Методы оценки </w:t>
      </w:r>
    </w:p>
    <w:p w:rsidR="001F0CFD" w:rsidRPr="006E4404" w:rsidRDefault="001F0CFD" w:rsidP="001F0CFD">
      <w:pPr>
        <w:widowControl/>
        <w:autoSpaceDE w:val="0"/>
        <w:autoSpaceDN w:val="0"/>
        <w:adjustRightInd w:val="0"/>
        <w:spacing w:before="240"/>
        <w:jc w:val="both"/>
        <w:rPr>
          <w:snapToGrid/>
          <w:color w:val="000000"/>
          <w:sz w:val="22"/>
          <w:szCs w:val="22"/>
        </w:rPr>
      </w:pPr>
      <w:r w:rsidRPr="006E4404">
        <w:rPr>
          <w:snapToGrid/>
          <w:color w:val="000000"/>
          <w:sz w:val="22"/>
          <w:szCs w:val="22"/>
        </w:rPr>
        <w:t xml:space="preserve">К измерению  в отношении справедливой (рыночной) стоимости должны применяться следующие подходы: рыночный подход («market approach»), доходный подход (income approach) и затратный подход («cost approach»). </w:t>
      </w:r>
    </w:p>
    <w:p w:rsidR="001F0CFD" w:rsidRPr="006E4404" w:rsidRDefault="001F0CFD" w:rsidP="001F0CFD">
      <w:pPr>
        <w:widowControl/>
        <w:autoSpaceDE w:val="0"/>
        <w:autoSpaceDN w:val="0"/>
        <w:adjustRightInd w:val="0"/>
        <w:spacing w:before="120" w:after="120"/>
        <w:jc w:val="both"/>
        <w:rPr>
          <w:snapToGrid/>
          <w:color w:val="000000"/>
          <w:sz w:val="22"/>
          <w:szCs w:val="22"/>
        </w:rPr>
      </w:pPr>
      <w:r w:rsidRPr="006E4404">
        <w:rPr>
          <w:snapToGrid/>
          <w:color w:val="000000"/>
          <w:sz w:val="22"/>
          <w:szCs w:val="22"/>
        </w:rPr>
        <w:t>Рыночный подход: использует цены и другую связанную информацию по транзакциям на идентичные и похожие активы и обязательства. Широко распространенным методом является использование рыночных мультипликаторов, рассчитанных на основе сопоставимых данных.</w:t>
      </w:r>
    </w:p>
    <w:p w:rsidR="001F0CFD" w:rsidRPr="006E4404" w:rsidRDefault="001F0CFD" w:rsidP="001F0CFD">
      <w:pPr>
        <w:widowControl/>
        <w:autoSpaceDE w:val="0"/>
        <w:autoSpaceDN w:val="0"/>
        <w:adjustRightInd w:val="0"/>
        <w:spacing w:before="120" w:after="120"/>
        <w:jc w:val="both"/>
        <w:rPr>
          <w:snapToGrid/>
          <w:color w:val="000000"/>
          <w:sz w:val="22"/>
          <w:szCs w:val="22"/>
        </w:rPr>
      </w:pPr>
      <w:r w:rsidRPr="006E4404">
        <w:rPr>
          <w:snapToGrid/>
          <w:color w:val="000000"/>
          <w:sz w:val="22"/>
          <w:szCs w:val="22"/>
        </w:rPr>
        <w:t>Доходный подход: конвертирует будущие величины (например, денежные потоки дохода или затрат) в текущую (т.е. дисконтированную) стоимость. Методы оценки могут включать дисконтированный денежный поток (DCF), модели ценообразования опционов или любые другие методы на основе текущей стоимости.</w:t>
      </w:r>
    </w:p>
    <w:p w:rsidR="001F0CFD" w:rsidRPr="006E4404" w:rsidRDefault="001F0CFD" w:rsidP="001F0CFD">
      <w:pPr>
        <w:widowControl/>
        <w:autoSpaceDE w:val="0"/>
        <w:autoSpaceDN w:val="0"/>
        <w:adjustRightInd w:val="0"/>
        <w:spacing w:before="120" w:after="120"/>
        <w:jc w:val="both"/>
        <w:rPr>
          <w:snapToGrid/>
          <w:color w:val="000000"/>
          <w:sz w:val="22"/>
          <w:szCs w:val="22"/>
        </w:rPr>
      </w:pPr>
      <w:r w:rsidRPr="006E4404">
        <w:rPr>
          <w:snapToGrid/>
          <w:color w:val="000000"/>
          <w:sz w:val="22"/>
          <w:szCs w:val="22"/>
        </w:rPr>
        <w:t xml:space="preserve">Затратный подход: отражает величины, которые необходимы, чтобы компенсировать сегодняшнюю стоимость актива (т.е. то, что подразумевается под «текущей себестоимостью замещения»). </w:t>
      </w:r>
    </w:p>
    <w:p w:rsidR="001F0CFD" w:rsidRPr="006E4404" w:rsidRDefault="001F0CFD" w:rsidP="001F0CFD">
      <w:pPr>
        <w:widowControl/>
        <w:autoSpaceDE w:val="0"/>
        <w:autoSpaceDN w:val="0"/>
        <w:adjustRightInd w:val="0"/>
        <w:spacing w:before="120" w:after="120"/>
        <w:jc w:val="both"/>
        <w:rPr>
          <w:snapToGrid/>
          <w:color w:val="000000"/>
          <w:sz w:val="22"/>
          <w:szCs w:val="22"/>
        </w:rPr>
      </w:pPr>
      <w:r w:rsidRPr="006E4404">
        <w:rPr>
          <w:snapToGrid/>
          <w:color w:val="000000"/>
          <w:sz w:val="22"/>
          <w:szCs w:val="22"/>
        </w:rPr>
        <w:t xml:space="preserve">1.8.3.  Применение указанной выше концепции справедливой (рыночной) стоимости обязательно при оценке обесценения активов, при учете выручки,  финансовых инструментов, активов для  продажи, допускается при учете финансовой аренды, государственной помощи, нематериальных активов и  не применяется для оценки запасов, налоговых обязательств и активов. </w:t>
      </w:r>
    </w:p>
    <w:p w:rsidR="001F0CFD" w:rsidRPr="006E4404" w:rsidRDefault="001F0CFD" w:rsidP="001F0CFD">
      <w:pPr>
        <w:widowControl/>
        <w:autoSpaceDE w:val="0"/>
        <w:autoSpaceDN w:val="0"/>
        <w:adjustRightInd w:val="0"/>
        <w:spacing w:before="120" w:after="120"/>
        <w:jc w:val="both"/>
        <w:rPr>
          <w:snapToGrid/>
          <w:color w:val="000000"/>
          <w:sz w:val="22"/>
          <w:szCs w:val="22"/>
        </w:rPr>
      </w:pPr>
      <w:r w:rsidRPr="006E4404">
        <w:rPr>
          <w:snapToGrid/>
          <w:color w:val="000000"/>
          <w:sz w:val="22"/>
          <w:szCs w:val="22"/>
        </w:rPr>
        <w:t>1.9. Дисконтированная стоимость</w:t>
      </w:r>
    </w:p>
    <w:p w:rsidR="001F0CFD" w:rsidRPr="006E4404" w:rsidRDefault="001F0CFD" w:rsidP="001F0CFD">
      <w:pPr>
        <w:spacing w:after="120"/>
        <w:ind w:left="-28" w:firstLine="14"/>
        <w:jc w:val="both"/>
        <w:rPr>
          <w:snapToGrid/>
          <w:color w:val="000000"/>
          <w:sz w:val="22"/>
          <w:szCs w:val="22"/>
        </w:rPr>
      </w:pPr>
      <w:r w:rsidRPr="006E4404">
        <w:rPr>
          <w:snapToGrid/>
          <w:color w:val="000000"/>
          <w:sz w:val="22"/>
          <w:szCs w:val="22"/>
        </w:rPr>
        <w:t xml:space="preserve">В целях формирования достоверного представления о финансовом положении Общества долгосрочная дебиторская задолженность, полученные долгосрочные  беспроцентные векселя (а также  выданные беспроцентные займы и векселя без дисконта), эмитентом которых являются не связанные компании, должны быть показаны в отчетности по дисконтированной стоимости. </w:t>
      </w:r>
    </w:p>
    <w:p w:rsidR="00E419DD" w:rsidRPr="006E4404" w:rsidRDefault="00E419DD">
      <w:pPr>
        <w:widowControl/>
        <w:spacing w:after="200" w:line="276" w:lineRule="auto"/>
        <w:rPr>
          <w:sz w:val="22"/>
          <w:szCs w:val="22"/>
        </w:rPr>
      </w:pPr>
      <w:r w:rsidRPr="006E4404">
        <w:rPr>
          <w:sz w:val="22"/>
          <w:szCs w:val="22"/>
        </w:rPr>
        <w:br w:type="page"/>
      </w:r>
    </w:p>
    <w:p w:rsidR="00E419DD" w:rsidRPr="006E4404" w:rsidRDefault="00E419DD" w:rsidP="00E419DD">
      <w:pPr>
        <w:widowControl/>
        <w:spacing w:after="120"/>
        <w:jc w:val="both"/>
        <w:rPr>
          <w:b/>
          <w:snapToGrid/>
          <w:sz w:val="22"/>
          <w:szCs w:val="22"/>
        </w:rPr>
      </w:pPr>
      <w:r w:rsidRPr="006E4404">
        <w:rPr>
          <w:b/>
          <w:snapToGrid/>
          <w:sz w:val="22"/>
          <w:szCs w:val="22"/>
        </w:rPr>
        <w:t>Основные положения учетной политики Эмитента на 2014 год</w:t>
      </w:r>
    </w:p>
    <w:p w:rsidR="00E419DD" w:rsidRPr="006E4404" w:rsidRDefault="00E419DD" w:rsidP="00E419DD">
      <w:pPr>
        <w:widowControl/>
        <w:spacing w:after="120"/>
        <w:jc w:val="both"/>
        <w:rPr>
          <w:b/>
          <w:snapToGrid/>
          <w:sz w:val="22"/>
          <w:szCs w:val="22"/>
        </w:rPr>
      </w:pPr>
    </w:p>
    <w:p w:rsidR="00E419DD" w:rsidRPr="006E4404" w:rsidRDefault="00E419DD" w:rsidP="00E419DD">
      <w:pPr>
        <w:suppressAutoHyphens/>
        <w:spacing w:after="120"/>
        <w:jc w:val="both"/>
        <w:rPr>
          <w:sz w:val="22"/>
          <w:szCs w:val="22"/>
        </w:rPr>
      </w:pPr>
      <w:r w:rsidRPr="006E4404">
        <w:rPr>
          <w:sz w:val="22"/>
          <w:szCs w:val="22"/>
        </w:rPr>
        <w:t>1.1 При формировании учетной политики Общества по конкретному вопросу организации и ведения бухгалтерского учета применяются положения корпоративной учетной политики. Если по конкретному вопросу в корпоративной учетной политике и других внутренних регламентирующих документах Компании не установлены способы ведения бухгалтерского учета, то при формировании учетной политики осуществляется разработка Обществом соответствующего способа, исходя из ПБУ 1/2008 «Учетная политика организации» и иных положений по бухгалтерскому учету, а также международных стандартов финансовой отчетности.</w:t>
      </w:r>
    </w:p>
    <w:p w:rsidR="00E419DD" w:rsidRPr="006E4404" w:rsidRDefault="00E419DD" w:rsidP="00E419DD">
      <w:pPr>
        <w:suppressAutoHyphens/>
        <w:spacing w:after="120"/>
        <w:jc w:val="both"/>
        <w:rPr>
          <w:sz w:val="22"/>
          <w:szCs w:val="22"/>
        </w:rPr>
      </w:pPr>
      <w:r w:rsidRPr="006E4404">
        <w:rPr>
          <w:sz w:val="22"/>
          <w:szCs w:val="22"/>
        </w:rPr>
        <w:t>1.2. Основными законодательными и нормативными актами, регулирующими бухгалтерский учет, являются поименованные акты с учетом их последующих изменений:</w:t>
      </w:r>
    </w:p>
    <w:p w:rsidR="00E419DD" w:rsidRPr="006E4404" w:rsidRDefault="00E419DD" w:rsidP="00E419DD">
      <w:pPr>
        <w:numPr>
          <w:ilvl w:val="0"/>
          <w:numId w:val="1"/>
        </w:numPr>
        <w:suppressAutoHyphens/>
        <w:spacing w:after="120"/>
        <w:ind w:right="51"/>
        <w:jc w:val="both"/>
        <w:rPr>
          <w:sz w:val="22"/>
          <w:szCs w:val="22"/>
        </w:rPr>
      </w:pPr>
      <w:r w:rsidRPr="006E4404">
        <w:rPr>
          <w:sz w:val="22"/>
          <w:szCs w:val="22"/>
        </w:rPr>
        <w:t>Федеральный закон «О бухгалтерском учете» от 06 декабря 2011 г. № 402-ФЗ;</w:t>
      </w:r>
    </w:p>
    <w:p w:rsidR="00E419DD" w:rsidRPr="006E4404" w:rsidRDefault="00E419DD" w:rsidP="00E419DD">
      <w:pPr>
        <w:numPr>
          <w:ilvl w:val="0"/>
          <w:numId w:val="1"/>
        </w:numPr>
        <w:suppressAutoHyphens/>
        <w:spacing w:after="120"/>
        <w:ind w:right="51"/>
        <w:jc w:val="both"/>
        <w:rPr>
          <w:sz w:val="22"/>
          <w:szCs w:val="22"/>
        </w:rPr>
      </w:pPr>
      <w:r w:rsidRPr="006E4404">
        <w:rPr>
          <w:sz w:val="22"/>
          <w:szCs w:val="22"/>
        </w:rPr>
        <w:t>Федеральный закон «Об акционерных обществах» от 26 декабря 1995 г. № 208-ФЗ;</w:t>
      </w:r>
    </w:p>
    <w:p w:rsidR="00E419DD" w:rsidRPr="006E4404" w:rsidRDefault="00E419DD" w:rsidP="00E419DD">
      <w:pPr>
        <w:numPr>
          <w:ilvl w:val="0"/>
          <w:numId w:val="1"/>
        </w:numPr>
        <w:suppressAutoHyphens/>
        <w:spacing w:after="120"/>
        <w:ind w:right="51"/>
        <w:jc w:val="both"/>
        <w:rPr>
          <w:sz w:val="22"/>
          <w:szCs w:val="22"/>
        </w:rPr>
      </w:pPr>
      <w:r w:rsidRPr="006E4404">
        <w:rPr>
          <w:sz w:val="22"/>
          <w:szCs w:val="22"/>
        </w:rPr>
        <w:t>Федеральный закон «О валютном регулировании и валютном контроле» от 10 декабря 2003 г. №173-ФЗ;</w:t>
      </w:r>
    </w:p>
    <w:p w:rsidR="00E419DD" w:rsidRPr="006E4404" w:rsidRDefault="00E419DD" w:rsidP="00E419DD">
      <w:pPr>
        <w:numPr>
          <w:ilvl w:val="0"/>
          <w:numId w:val="1"/>
        </w:numPr>
        <w:suppressAutoHyphens/>
        <w:spacing w:after="120"/>
        <w:ind w:right="51"/>
        <w:jc w:val="both"/>
        <w:rPr>
          <w:sz w:val="22"/>
          <w:szCs w:val="22"/>
        </w:rPr>
      </w:pPr>
      <w:r w:rsidRPr="006E4404">
        <w:rPr>
          <w:sz w:val="22"/>
          <w:szCs w:val="22"/>
        </w:rPr>
        <w:t xml:space="preserve">Федеральный закон «О консолидированной финансовой отчетности» от 27 июля 2010 г. № 208-ФЗ; </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 xml:space="preserve">Положение по ведению бухгалтерского учета и бухгалтерской отчетности в Российской Федерации, утвержденное приказом Минфина России от 29 июля 1998 г. № 34н; </w:t>
      </w:r>
    </w:p>
    <w:p w:rsidR="00E419DD" w:rsidRPr="006E4404" w:rsidRDefault="00E419DD" w:rsidP="00E419DD">
      <w:pPr>
        <w:numPr>
          <w:ilvl w:val="0"/>
          <w:numId w:val="2"/>
        </w:numPr>
        <w:suppressAutoHyphens/>
        <w:spacing w:after="120"/>
        <w:ind w:right="51"/>
        <w:jc w:val="both"/>
        <w:rPr>
          <w:sz w:val="22"/>
          <w:szCs w:val="22"/>
        </w:rPr>
      </w:pPr>
      <w:r w:rsidRPr="006E4404">
        <w:rPr>
          <w:sz w:val="22"/>
          <w:szCs w:val="22"/>
        </w:rPr>
        <w:t>Положение по бухгалтерскому учету «Учетная политика организации» ПБУ 1/2008, утвержденное приказом Минфина России от 06 октября 2008 г. № 106н;</w:t>
      </w:r>
    </w:p>
    <w:p w:rsidR="00E419DD" w:rsidRPr="006E4404" w:rsidRDefault="00E419DD" w:rsidP="00E419DD">
      <w:pPr>
        <w:numPr>
          <w:ilvl w:val="0"/>
          <w:numId w:val="5"/>
        </w:numPr>
        <w:suppressAutoHyphens/>
        <w:spacing w:after="120"/>
        <w:jc w:val="both"/>
        <w:rPr>
          <w:sz w:val="22"/>
          <w:szCs w:val="22"/>
        </w:rPr>
      </w:pPr>
      <w:r w:rsidRPr="006E4404">
        <w:rPr>
          <w:sz w:val="22"/>
          <w:szCs w:val="22"/>
        </w:rPr>
        <w:t xml:space="preserve">Положение по бухгалтерскому учету «Учет договоров строительного подряда» ПБУ 2/2008, утвержденное Приказом Минфина РФ от 24 октября 2008 г. №116н; </w:t>
      </w:r>
    </w:p>
    <w:p w:rsidR="00E419DD" w:rsidRPr="006E4404" w:rsidRDefault="00E419DD" w:rsidP="00E419DD">
      <w:pPr>
        <w:numPr>
          <w:ilvl w:val="0"/>
          <w:numId w:val="5"/>
        </w:numPr>
        <w:suppressAutoHyphens/>
        <w:spacing w:after="120"/>
        <w:jc w:val="both"/>
        <w:rPr>
          <w:sz w:val="22"/>
          <w:szCs w:val="22"/>
        </w:rPr>
      </w:pPr>
      <w:r w:rsidRPr="006E4404">
        <w:rPr>
          <w:sz w:val="22"/>
          <w:szCs w:val="22"/>
        </w:rPr>
        <w:t>Положение по бухгалтерскому учету «Учет активов и обязательств, стоимость, которых выражена в иностранной валюте» ПБУ 3/2006, утвержденное приказом Минфина РФ от 27 ноября 2006 г. № 154н;</w:t>
      </w:r>
    </w:p>
    <w:p w:rsidR="00E419DD" w:rsidRPr="006E4404" w:rsidRDefault="00E419DD" w:rsidP="00E419DD">
      <w:pPr>
        <w:numPr>
          <w:ilvl w:val="0"/>
          <w:numId w:val="6"/>
        </w:numPr>
        <w:suppressAutoHyphens/>
        <w:spacing w:after="120"/>
        <w:jc w:val="both"/>
        <w:rPr>
          <w:sz w:val="22"/>
          <w:szCs w:val="22"/>
        </w:rPr>
      </w:pPr>
      <w:r w:rsidRPr="006E4404">
        <w:rPr>
          <w:sz w:val="22"/>
          <w:szCs w:val="22"/>
        </w:rPr>
        <w:t>Положение по бухгалтерскому учету «Бухгалтерская отчетность организации» ПБУ  4/1999, утвержденное Приказом Минфина РФ от 06 июля 1999 г. №43н;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«Учет материально-производственных запасов» ПБУ 5/2001, утвержденное приказом Минфина РФ от 9 июня 2001 г. № 44н;</w:t>
      </w:r>
    </w:p>
    <w:p w:rsidR="00E419DD" w:rsidRPr="006E4404" w:rsidRDefault="00E419DD" w:rsidP="00E419DD">
      <w:pPr>
        <w:numPr>
          <w:ilvl w:val="0"/>
          <w:numId w:val="3"/>
        </w:numPr>
        <w:suppressAutoHyphens/>
        <w:spacing w:after="120"/>
        <w:ind w:right="51"/>
        <w:jc w:val="both"/>
        <w:rPr>
          <w:sz w:val="22"/>
          <w:szCs w:val="22"/>
        </w:rPr>
      </w:pPr>
      <w:r w:rsidRPr="006E4404">
        <w:rPr>
          <w:color w:val="000000"/>
          <w:sz w:val="22"/>
          <w:szCs w:val="22"/>
        </w:rPr>
        <w:t>Положение по бухгалтерскому учету «Учет основных средств» ПБУ 6/2001, утвержденное приказом Минфина РФ от 30 марта 2001 г. № 26н;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«События после отчетной даты» ПБУ 7/1998, утвержденное приказом Минфина РФ от 25 ноября 1998 г. № 56н;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 xml:space="preserve">Положение по бухгалтерскому учету «Оценочные обязательства, условные обязательства и условные активы» ПБУ 8/2010, утвержденное приказом Минфина РФ от 13 декабря 2010 N 167н; </w:t>
      </w:r>
    </w:p>
    <w:p w:rsidR="00E419DD" w:rsidRPr="006E4404" w:rsidRDefault="00E419DD" w:rsidP="00E419DD">
      <w:pPr>
        <w:numPr>
          <w:ilvl w:val="0"/>
          <w:numId w:val="4"/>
        </w:numPr>
        <w:suppressAutoHyphens/>
        <w:spacing w:after="120"/>
        <w:ind w:right="51"/>
        <w:jc w:val="both"/>
        <w:rPr>
          <w:sz w:val="22"/>
          <w:szCs w:val="22"/>
        </w:rPr>
      </w:pPr>
      <w:r w:rsidRPr="006E4404">
        <w:rPr>
          <w:color w:val="000000"/>
          <w:sz w:val="22"/>
          <w:szCs w:val="22"/>
        </w:rPr>
        <w:t>Положение по бухгалтерскому учету «Доходы организации» ПБУ 9/1999 утвержденное приказом Минфина РФ от 06 мая 1999 г. № 32н;</w:t>
      </w:r>
    </w:p>
    <w:p w:rsidR="00E419DD" w:rsidRPr="006E4404" w:rsidRDefault="00E419DD" w:rsidP="00E419DD">
      <w:pPr>
        <w:numPr>
          <w:ilvl w:val="0"/>
          <w:numId w:val="4"/>
        </w:numPr>
        <w:suppressAutoHyphens/>
        <w:spacing w:after="120"/>
        <w:ind w:right="51"/>
        <w:jc w:val="both"/>
        <w:rPr>
          <w:sz w:val="22"/>
          <w:szCs w:val="22"/>
        </w:rPr>
      </w:pPr>
      <w:r w:rsidRPr="006E4404">
        <w:rPr>
          <w:sz w:val="22"/>
          <w:szCs w:val="22"/>
        </w:rPr>
        <w:t>Положение по бухгалтерскому учету «Расходы организации» ПБУ 10/1999, утвержденное приказом Минфина РФ от 06 мая 1999 г. № 33н</w:t>
      </w:r>
      <w:r w:rsidRPr="006E4404">
        <w:rPr>
          <w:color w:val="000000"/>
          <w:sz w:val="22"/>
          <w:szCs w:val="22"/>
        </w:rPr>
        <w:t>;</w:t>
      </w:r>
    </w:p>
    <w:p w:rsidR="00E419DD" w:rsidRPr="006E4404" w:rsidRDefault="00E419DD" w:rsidP="00E419DD">
      <w:pPr>
        <w:numPr>
          <w:ilvl w:val="0"/>
          <w:numId w:val="4"/>
        </w:numPr>
        <w:suppressAutoHyphens/>
        <w:spacing w:after="120"/>
        <w:ind w:right="51"/>
        <w:jc w:val="both"/>
        <w:rPr>
          <w:sz w:val="22"/>
          <w:szCs w:val="22"/>
        </w:rPr>
      </w:pPr>
      <w:r w:rsidRPr="006E4404">
        <w:rPr>
          <w:sz w:val="22"/>
          <w:szCs w:val="22"/>
        </w:rPr>
        <w:t>Положение по бухгалтерскому учету «Информация о связанных сторонах» ПБУ 11/2008, утвержденное приказом Минфина РФ от 29 апреля 2008 г. № 48н</w:t>
      </w:r>
      <w:r w:rsidRPr="006E4404">
        <w:rPr>
          <w:color w:val="000000"/>
          <w:sz w:val="22"/>
          <w:szCs w:val="22"/>
        </w:rPr>
        <w:t>;</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«Информация по сегментам» ПБУ 12/2010, утвержденное приказом Минфина РФ от 8 ноября 2010 г. № 143н;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«Учет государственной помощи» ПБУ 13/2000, утвержденное приказом Минфина РФ от 16 октября 2000 г. № 92н;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«Учет нематериальных активов» ПБУ 14/2007, утвержденное приказом Минфина РФ от 27 декабря 2007 г. № 153н;</w:t>
      </w:r>
    </w:p>
    <w:p w:rsidR="00E419DD" w:rsidRPr="006E4404" w:rsidRDefault="00E419DD" w:rsidP="00E419DD">
      <w:pPr>
        <w:numPr>
          <w:ilvl w:val="0"/>
          <w:numId w:val="3"/>
        </w:numPr>
        <w:suppressAutoHyphens/>
        <w:spacing w:after="120"/>
        <w:ind w:right="51"/>
        <w:jc w:val="both"/>
        <w:rPr>
          <w:color w:val="000000"/>
          <w:sz w:val="22"/>
          <w:szCs w:val="22"/>
        </w:rPr>
      </w:pPr>
      <w:r w:rsidRPr="006E4404">
        <w:rPr>
          <w:sz w:val="22"/>
          <w:szCs w:val="22"/>
        </w:rPr>
        <w:t>Положение по бухгалтерскому учету «Учет расходов по займам и кредитам» ПБУ 15/2008, утвержденное приказом Минфина РФ от 6 октября 2008 г. № 107н;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«Информация по прекращаемой деятельности» ПБУ 16/2002, утвержденное приказом Минфина РФ от 2 июля 2002 г. № 66н;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 xml:space="preserve">Положение по бухгалтерскому учету «Учет расходов на научно-исследовательские, опытно-конструкторские и технологические работы» ПБУ 17/2002, утвержденное приказом Минфина РФ от 19 ноября 2002 г. № 115н; </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«Учет расчетов по налогу на прибыль» ПБУ 18/2002, утвержденное приказом Минфина РФ от 19 ноября 2002 г. № 114н;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Положение по бухгалтерскому учету «Учет финансовых вложений» ПБУ 19/2002, утвержденное приказом Минфина РФ от 10 декабря 2002 г. № 126н;</w:t>
      </w:r>
    </w:p>
    <w:p w:rsidR="00E419DD" w:rsidRPr="006E4404" w:rsidRDefault="00E419DD" w:rsidP="00E419DD">
      <w:pPr>
        <w:numPr>
          <w:ilvl w:val="0"/>
          <w:numId w:val="3"/>
        </w:numPr>
        <w:suppressAutoHyphens/>
        <w:spacing w:after="120"/>
        <w:ind w:right="51"/>
        <w:jc w:val="both"/>
        <w:rPr>
          <w:color w:val="000000"/>
          <w:sz w:val="22"/>
          <w:szCs w:val="22"/>
        </w:rPr>
      </w:pPr>
      <w:r w:rsidRPr="006E4404">
        <w:rPr>
          <w:color w:val="000000"/>
          <w:sz w:val="22"/>
          <w:szCs w:val="22"/>
        </w:rPr>
        <w:t xml:space="preserve">Положение по бухгалтерскому учету «Информация об участии в совместной деятельности» ПБУ 20/2003, утвержденное приказом Минфина РФ от 24 ноября 2003 г. № 105н;  </w:t>
      </w:r>
    </w:p>
    <w:p w:rsidR="00E419DD" w:rsidRPr="006E4404" w:rsidRDefault="00E419DD" w:rsidP="00E419DD">
      <w:pPr>
        <w:numPr>
          <w:ilvl w:val="0"/>
          <w:numId w:val="3"/>
        </w:numPr>
        <w:suppressAutoHyphens/>
        <w:spacing w:after="120"/>
        <w:ind w:right="51"/>
        <w:jc w:val="both"/>
        <w:rPr>
          <w:color w:val="000000"/>
          <w:sz w:val="22"/>
          <w:szCs w:val="22"/>
        </w:rPr>
      </w:pPr>
      <w:r w:rsidRPr="006E4404">
        <w:rPr>
          <w:sz w:val="22"/>
          <w:szCs w:val="22"/>
        </w:rPr>
        <w:t>Положение по бухгалтерскому учету «Изменения оценочных значений» ПБУ 21/2008, утвержденное приказом Минфина России от 06 октября 2008 г. № 106н;</w:t>
      </w:r>
    </w:p>
    <w:p w:rsidR="00E419DD" w:rsidRPr="006E4404" w:rsidRDefault="00E419DD" w:rsidP="00E419DD">
      <w:pPr>
        <w:numPr>
          <w:ilvl w:val="0"/>
          <w:numId w:val="3"/>
        </w:numPr>
        <w:suppressAutoHyphens/>
        <w:spacing w:after="120"/>
        <w:ind w:right="51"/>
        <w:jc w:val="both"/>
        <w:rPr>
          <w:color w:val="000000"/>
          <w:sz w:val="22"/>
          <w:szCs w:val="22"/>
        </w:rPr>
      </w:pPr>
      <w:r w:rsidRPr="006E4404">
        <w:rPr>
          <w:sz w:val="22"/>
          <w:szCs w:val="22"/>
        </w:rPr>
        <w:t>Положение по бухгалтерскому учету «Исправление ошибок в бухгалтерском учете и отчетности» ПБУ 22/2010, утвержденное приказом Минфина России от 28 июня 2010  г. № 63н;</w:t>
      </w:r>
    </w:p>
    <w:p w:rsidR="00E419DD" w:rsidRPr="006E4404" w:rsidRDefault="00E419DD" w:rsidP="00E419DD">
      <w:pPr>
        <w:numPr>
          <w:ilvl w:val="0"/>
          <w:numId w:val="3"/>
        </w:numPr>
        <w:suppressAutoHyphens/>
        <w:spacing w:after="120"/>
        <w:ind w:right="51"/>
        <w:jc w:val="both"/>
        <w:rPr>
          <w:color w:val="000000"/>
          <w:sz w:val="22"/>
          <w:szCs w:val="22"/>
        </w:rPr>
      </w:pPr>
      <w:r w:rsidRPr="006E4404">
        <w:rPr>
          <w:sz w:val="22"/>
          <w:szCs w:val="22"/>
        </w:rPr>
        <w:t>Положение по бухгалтерскому учету «Отчет о движении денежных средств» ПБУ 23/2011, утвержденное приказом Минфина РФ от 02 февраля 2011 № 11н;</w:t>
      </w:r>
    </w:p>
    <w:p w:rsidR="00E419DD" w:rsidRPr="006E4404" w:rsidRDefault="00E419DD" w:rsidP="00E419DD">
      <w:pPr>
        <w:numPr>
          <w:ilvl w:val="0"/>
          <w:numId w:val="3"/>
        </w:numPr>
        <w:suppressAutoHyphens/>
        <w:spacing w:after="120"/>
        <w:ind w:right="51"/>
        <w:jc w:val="both"/>
        <w:rPr>
          <w:sz w:val="22"/>
          <w:szCs w:val="22"/>
        </w:rPr>
      </w:pPr>
      <w:r w:rsidRPr="006E4404">
        <w:rPr>
          <w:color w:val="000000"/>
          <w:sz w:val="22"/>
          <w:szCs w:val="22"/>
        </w:rPr>
        <w:t>План счетов бухгалтерского учета финансово-хозяйственной деятельности организаций и Инструкция по его применению, утвержденные приказом Минфина РФ от 31 октября 2000 г. № 94н;</w:t>
      </w:r>
    </w:p>
    <w:p w:rsidR="00E419DD" w:rsidRPr="006E4404" w:rsidRDefault="00E419DD" w:rsidP="00E419DD">
      <w:pPr>
        <w:numPr>
          <w:ilvl w:val="0"/>
          <w:numId w:val="3"/>
        </w:numPr>
        <w:suppressAutoHyphens/>
        <w:spacing w:after="120"/>
        <w:ind w:right="51"/>
        <w:jc w:val="both"/>
        <w:rPr>
          <w:sz w:val="22"/>
          <w:szCs w:val="22"/>
        </w:rPr>
      </w:pPr>
      <w:r w:rsidRPr="006E4404">
        <w:rPr>
          <w:sz w:val="22"/>
          <w:szCs w:val="22"/>
        </w:rPr>
        <w:t xml:space="preserve">Приказ Минфина РФ от 18.07.2012 N 106н «О введении в действие и прекращении действия документов Международных стандартов финансовой отчетности на территории Российской Федерации»; </w:t>
      </w:r>
    </w:p>
    <w:p w:rsidR="00E419DD" w:rsidRPr="006E4404" w:rsidRDefault="00A74FEC" w:rsidP="00E419DD">
      <w:pPr>
        <w:numPr>
          <w:ilvl w:val="0"/>
          <w:numId w:val="3"/>
        </w:numPr>
        <w:suppressAutoHyphens/>
        <w:spacing w:after="120"/>
        <w:ind w:right="51"/>
        <w:jc w:val="both"/>
        <w:rPr>
          <w:sz w:val="22"/>
          <w:szCs w:val="22"/>
        </w:rPr>
      </w:pPr>
      <w:hyperlink r:id="rId10" w:history="1">
        <w:r w:rsidR="00E419DD" w:rsidRPr="006E4404">
          <w:rPr>
            <w:iCs/>
            <w:sz w:val="22"/>
            <w:szCs w:val="22"/>
          </w:rPr>
          <w:t>Приказ Минфина РФ от 25.11.2011 N 160н "О введении в действие Международных стандартов финансовой отчетности и Разъяснений Международных стандартов финансовой отчетности на территории Российской Федерации"</w:t>
        </w:r>
      </w:hyperlink>
      <w:r w:rsidR="00E419DD" w:rsidRPr="006E4404">
        <w:rPr>
          <w:sz w:val="22"/>
          <w:szCs w:val="22"/>
        </w:rPr>
        <w:t>;</w:t>
      </w:r>
    </w:p>
    <w:p w:rsidR="00E419DD" w:rsidRPr="006E4404" w:rsidRDefault="00A74FEC" w:rsidP="00E419DD">
      <w:pPr>
        <w:numPr>
          <w:ilvl w:val="0"/>
          <w:numId w:val="3"/>
        </w:numPr>
        <w:suppressAutoHyphens/>
        <w:spacing w:after="120"/>
        <w:ind w:right="51"/>
        <w:jc w:val="both"/>
        <w:rPr>
          <w:sz w:val="22"/>
          <w:szCs w:val="22"/>
        </w:rPr>
      </w:pPr>
      <w:hyperlink r:id="rId11" w:history="1">
        <w:r w:rsidR="00E419DD" w:rsidRPr="006E4404">
          <w:rPr>
            <w:iCs/>
            <w:sz w:val="22"/>
            <w:szCs w:val="22"/>
          </w:rPr>
          <w:t>Приказ Минфина РФ от 31.10.2012 N 143н "О введении в действие документов Международных стандартов финансовой отчетности на территории Российской Федерации"</w:t>
        </w:r>
      </w:hyperlink>
      <w:r w:rsidR="00E419DD" w:rsidRPr="006E4404">
        <w:rPr>
          <w:sz w:val="22"/>
          <w:szCs w:val="22"/>
        </w:rPr>
        <w:t>;</w:t>
      </w:r>
    </w:p>
    <w:p w:rsidR="00E419DD" w:rsidRPr="006E4404" w:rsidRDefault="00E419DD" w:rsidP="00E419DD">
      <w:pPr>
        <w:numPr>
          <w:ilvl w:val="0"/>
          <w:numId w:val="3"/>
        </w:numPr>
        <w:suppressAutoHyphens/>
        <w:spacing w:after="120"/>
        <w:ind w:right="45"/>
        <w:jc w:val="both"/>
        <w:rPr>
          <w:sz w:val="22"/>
          <w:szCs w:val="22"/>
        </w:rPr>
      </w:pPr>
      <w:r w:rsidRPr="006E4404">
        <w:rPr>
          <w:sz w:val="22"/>
          <w:szCs w:val="22"/>
        </w:rPr>
        <w:t xml:space="preserve">Методические указания по инвентаризации имущества и финансовых обязательств, утвержденные приказом Минфина РФ от 13 июня 1995 г. № 49; </w:t>
      </w:r>
    </w:p>
    <w:p w:rsidR="00E419DD" w:rsidRPr="006E4404" w:rsidRDefault="00E419DD" w:rsidP="00E419DD">
      <w:pPr>
        <w:numPr>
          <w:ilvl w:val="0"/>
          <w:numId w:val="3"/>
        </w:numPr>
        <w:suppressAutoHyphens/>
        <w:spacing w:after="120"/>
        <w:ind w:right="45"/>
        <w:jc w:val="both"/>
        <w:rPr>
          <w:sz w:val="22"/>
          <w:szCs w:val="22"/>
        </w:rPr>
      </w:pPr>
      <w:r w:rsidRPr="006E4404">
        <w:rPr>
          <w:sz w:val="22"/>
          <w:szCs w:val="22"/>
        </w:rPr>
        <w:t>Методические указания по бухгалтерскому учету материально-производственных запасов, утвержденные приказом Минфина РФ от 28 декабря 2001 г. № 119н;</w:t>
      </w:r>
    </w:p>
    <w:p w:rsidR="00E419DD" w:rsidRPr="006E4404" w:rsidRDefault="00E419DD" w:rsidP="00E419DD">
      <w:pPr>
        <w:numPr>
          <w:ilvl w:val="0"/>
          <w:numId w:val="3"/>
        </w:numPr>
        <w:suppressAutoHyphens/>
        <w:spacing w:after="120"/>
        <w:ind w:right="45"/>
        <w:jc w:val="both"/>
        <w:rPr>
          <w:sz w:val="22"/>
          <w:szCs w:val="22"/>
        </w:rPr>
      </w:pPr>
      <w:r w:rsidRPr="006E4404">
        <w:rPr>
          <w:sz w:val="22"/>
          <w:szCs w:val="22"/>
        </w:rPr>
        <w:t>Методические указания по бухгалтерскому учету основных средств, утвержденные приказом Минфина РФ от 13 октября 2003 г. № 91н;</w:t>
      </w:r>
    </w:p>
    <w:p w:rsidR="00E419DD" w:rsidRPr="006E4404" w:rsidRDefault="00E419DD" w:rsidP="00E419DD">
      <w:pPr>
        <w:numPr>
          <w:ilvl w:val="0"/>
          <w:numId w:val="3"/>
        </w:numPr>
        <w:suppressAutoHyphens/>
        <w:spacing w:after="120"/>
        <w:ind w:right="45"/>
        <w:jc w:val="both"/>
        <w:rPr>
          <w:sz w:val="22"/>
          <w:szCs w:val="22"/>
        </w:rPr>
      </w:pPr>
      <w:r w:rsidRPr="006E4404">
        <w:rPr>
          <w:color w:val="000000"/>
          <w:sz w:val="22"/>
          <w:szCs w:val="22"/>
        </w:rPr>
        <w:t xml:space="preserve">Приказ Минфина  РФ </w:t>
      </w:r>
      <w:r w:rsidRPr="006E4404">
        <w:rPr>
          <w:sz w:val="22"/>
          <w:szCs w:val="22"/>
        </w:rPr>
        <w:t>«О формах бухгалтерской отчетности организаций» от 2 июля 2010 г. № 66н;</w:t>
      </w:r>
    </w:p>
    <w:p w:rsidR="00E419DD" w:rsidRPr="006E4404" w:rsidRDefault="00E419DD" w:rsidP="00E419DD">
      <w:pPr>
        <w:numPr>
          <w:ilvl w:val="0"/>
          <w:numId w:val="7"/>
        </w:numPr>
        <w:tabs>
          <w:tab w:val="num" w:pos="1134"/>
        </w:tabs>
        <w:suppressAutoHyphens/>
        <w:spacing w:after="120"/>
        <w:ind w:left="357" w:hanging="357"/>
        <w:jc w:val="both"/>
        <w:rPr>
          <w:sz w:val="22"/>
          <w:szCs w:val="22"/>
        </w:rPr>
      </w:pPr>
      <w:r w:rsidRPr="006E4404">
        <w:rPr>
          <w:sz w:val="22"/>
          <w:szCs w:val="22"/>
        </w:rPr>
        <w:t xml:space="preserve">Методические указания по бухгалтерскому учету специального инструмента, специальных приспособлений, специального оборудования и специальной одежды, утвержденные приказом </w:t>
      </w:r>
      <w:r w:rsidRPr="006E4404">
        <w:rPr>
          <w:color w:val="000000"/>
          <w:sz w:val="22"/>
          <w:szCs w:val="22"/>
        </w:rPr>
        <w:t xml:space="preserve">Минфина  РФ </w:t>
      </w:r>
      <w:r w:rsidRPr="006E4404">
        <w:rPr>
          <w:sz w:val="22"/>
          <w:szCs w:val="22"/>
        </w:rPr>
        <w:t>от 26 декабря 2002г №135н;</w:t>
      </w:r>
    </w:p>
    <w:p w:rsidR="00E419DD" w:rsidRPr="006E4404" w:rsidRDefault="00E419DD" w:rsidP="00E419DD">
      <w:pPr>
        <w:numPr>
          <w:ilvl w:val="0"/>
          <w:numId w:val="3"/>
        </w:numPr>
        <w:suppressAutoHyphens/>
        <w:spacing w:after="120"/>
        <w:ind w:right="45"/>
        <w:jc w:val="both"/>
        <w:rPr>
          <w:sz w:val="22"/>
          <w:szCs w:val="22"/>
        </w:rPr>
      </w:pPr>
      <w:r w:rsidRPr="006E4404">
        <w:rPr>
          <w:sz w:val="22"/>
          <w:szCs w:val="22"/>
        </w:rPr>
        <w:t>Методические указания по формированию бухгалтерской отчетности при осуществлении реорганизации организаций, утвержденные приказом Минфина РФ от 20 мая 2003 г. № 44н;</w:t>
      </w:r>
    </w:p>
    <w:p w:rsidR="00E419DD" w:rsidRPr="006E4404" w:rsidRDefault="00E419DD" w:rsidP="00E419DD">
      <w:pPr>
        <w:numPr>
          <w:ilvl w:val="0"/>
          <w:numId w:val="3"/>
        </w:numPr>
        <w:suppressAutoHyphens/>
        <w:spacing w:after="120"/>
        <w:ind w:right="45"/>
        <w:jc w:val="both"/>
        <w:rPr>
          <w:sz w:val="22"/>
          <w:szCs w:val="22"/>
        </w:rPr>
      </w:pPr>
      <w:r w:rsidRPr="006E4404">
        <w:rPr>
          <w:sz w:val="22"/>
          <w:szCs w:val="22"/>
        </w:rPr>
        <w:t>другие законодательные и нормативные документы.</w:t>
      </w:r>
    </w:p>
    <w:p w:rsidR="00E419DD" w:rsidRPr="006E4404" w:rsidRDefault="00E419DD" w:rsidP="00E419DD">
      <w:pPr>
        <w:suppressAutoHyphens/>
        <w:spacing w:after="120"/>
        <w:ind w:right="45"/>
        <w:jc w:val="both"/>
        <w:rPr>
          <w:sz w:val="22"/>
          <w:szCs w:val="22"/>
        </w:rPr>
      </w:pPr>
      <w:r w:rsidRPr="006E4404">
        <w:rPr>
          <w:sz w:val="22"/>
          <w:szCs w:val="22"/>
        </w:rPr>
        <w:t>1.3. Кроме настоящей Учетной политики вопросы бухгалтерского учета и отчетности разъясняются принятыми в Обществе внутренними регламентирующими  документами (политиками, стандартами, регламентами, положениями, инструкциями и т.п.).</w:t>
      </w:r>
    </w:p>
    <w:p w:rsidR="00E419DD" w:rsidRPr="006E4404" w:rsidRDefault="00E419DD" w:rsidP="00E419DD">
      <w:pPr>
        <w:widowControl/>
        <w:suppressAutoHyphens/>
        <w:autoSpaceDE w:val="0"/>
        <w:autoSpaceDN w:val="0"/>
        <w:adjustRightInd w:val="0"/>
        <w:spacing w:after="120"/>
        <w:jc w:val="both"/>
        <w:rPr>
          <w:bCs/>
          <w:snapToGrid/>
          <w:color w:val="000000"/>
          <w:sz w:val="22"/>
          <w:szCs w:val="22"/>
        </w:rPr>
      </w:pPr>
      <w:r w:rsidRPr="006E4404">
        <w:rPr>
          <w:bCs/>
          <w:snapToGrid/>
          <w:color w:val="000000"/>
          <w:sz w:val="22"/>
          <w:szCs w:val="22"/>
        </w:rPr>
        <w:t xml:space="preserve">1.4. При возникновении противоречий в толковании учетных норм между стандартами МСФО, введенными в действие на территории Российской Федерации,  и Положениями по бухгалтерскому учету данные противоречия решаются в пользу международных стандартов. </w:t>
      </w:r>
    </w:p>
    <w:p w:rsidR="00E419DD" w:rsidRPr="006E4404" w:rsidRDefault="00E419DD" w:rsidP="00E419DD">
      <w:pPr>
        <w:widowControl/>
        <w:suppressAutoHyphens/>
        <w:spacing w:after="120"/>
        <w:ind w:right="-1"/>
        <w:jc w:val="both"/>
        <w:rPr>
          <w:snapToGrid/>
          <w:sz w:val="22"/>
          <w:szCs w:val="22"/>
        </w:rPr>
      </w:pPr>
      <w:r w:rsidRPr="006E4404">
        <w:rPr>
          <w:snapToGrid/>
          <w:sz w:val="22"/>
          <w:szCs w:val="22"/>
        </w:rPr>
        <w:t>1.5. Общество ведет бухгалтерский учет в соответствии с общепринятыми допущениями:</w:t>
      </w:r>
    </w:p>
    <w:p w:rsidR="00E419DD" w:rsidRPr="006E4404" w:rsidRDefault="00E419DD" w:rsidP="00E419DD">
      <w:pPr>
        <w:widowControl/>
        <w:numPr>
          <w:ilvl w:val="0"/>
          <w:numId w:val="8"/>
        </w:numPr>
        <w:suppressAutoHyphens/>
        <w:spacing w:after="120"/>
        <w:ind w:right="-1"/>
        <w:jc w:val="both"/>
        <w:rPr>
          <w:snapToGrid/>
          <w:sz w:val="22"/>
          <w:szCs w:val="22"/>
        </w:rPr>
      </w:pPr>
      <w:r w:rsidRPr="006E4404">
        <w:rPr>
          <w:snapToGrid/>
          <w:sz w:val="22"/>
          <w:szCs w:val="22"/>
        </w:rPr>
        <w:t>активы и обязательства Общества существуют обособленно от активов и обязательств собственников Общества и активов и обязательств других организаций (допущение имущественной обособленности), предполагая  под этим допущением контроль над активами и переход рисков;</w:t>
      </w:r>
    </w:p>
    <w:p w:rsidR="00E419DD" w:rsidRPr="006E4404" w:rsidRDefault="00E419DD" w:rsidP="00E419DD">
      <w:pPr>
        <w:widowControl/>
        <w:numPr>
          <w:ilvl w:val="0"/>
          <w:numId w:val="8"/>
        </w:numPr>
        <w:suppressAutoHyphens/>
        <w:spacing w:after="120"/>
        <w:ind w:right="-1"/>
        <w:jc w:val="both"/>
        <w:rPr>
          <w:snapToGrid/>
          <w:sz w:val="22"/>
          <w:szCs w:val="22"/>
        </w:rPr>
      </w:pPr>
      <w:r w:rsidRPr="006E4404">
        <w:rPr>
          <w:snapToGrid/>
          <w:sz w:val="22"/>
          <w:szCs w:val="22"/>
        </w:rPr>
        <w:t>Общество будет продолжать свою деятельность в обозримом будущем и у нее отсутствуют намерения и необходимость ликвидации или существенного сокращения деятельности и, следовательно, обязательства будут погашаться в установленном порядке (допущение непрерывности деятельности);</w:t>
      </w:r>
    </w:p>
    <w:p w:rsidR="00E419DD" w:rsidRPr="006E4404" w:rsidRDefault="00E419DD" w:rsidP="00E419DD">
      <w:pPr>
        <w:widowControl/>
        <w:numPr>
          <w:ilvl w:val="0"/>
          <w:numId w:val="8"/>
        </w:numPr>
        <w:suppressAutoHyphens/>
        <w:spacing w:after="120"/>
        <w:ind w:left="364" w:right="-1" w:hanging="364"/>
        <w:jc w:val="both"/>
        <w:rPr>
          <w:snapToGrid/>
          <w:sz w:val="22"/>
          <w:szCs w:val="22"/>
        </w:rPr>
      </w:pPr>
      <w:r w:rsidRPr="006E4404">
        <w:rPr>
          <w:snapToGrid/>
          <w:sz w:val="22"/>
          <w:szCs w:val="22"/>
        </w:rPr>
        <w:t>принятая Обществом Учетная политика применяется последовательно от одного отчетного года к другому (допущение последовательности применения Учетной политики);</w:t>
      </w:r>
    </w:p>
    <w:p w:rsidR="00E419DD" w:rsidRPr="006E4404" w:rsidRDefault="00E419DD" w:rsidP="00E419DD">
      <w:pPr>
        <w:widowControl/>
        <w:numPr>
          <w:ilvl w:val="0"/>
          <w:numId w:val="8"/>
        </w:numPr>
        <w:suppressAutoHyphens/>
        <w:spacing w:after="120"/>
        <w:ind w:right="-1"/>
        <w:jc w:val="both"/>
        <w:rPr>
          <w:snapToGrid/>
          <w:sz w:val="22"/>
          <w:szCs w:val="22"/>
        </w:rPr>
      </w:pPr>
      <w:r w:rsidRPr="006E4404">
        <w:rPr>
          <w:snapToGrid/>
          <w:sz w:val="22"/>
          <w:szCs w:val="22"/>
        </w:rPr>
        <w:t>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 (допущение временной определенности фактов хозяйственной деятельности).</w:t>
      </w:r>
    </w:p>
    <w:p w:rsidR="00E419DD" w:rsidRPr="006E4404" w:rsidRDefault="00E419DD" w:rsidP="00E419DD">
      <w:pPr>
        <w:widowControl/>
        <w:suppressAutoHyphens/>
        <w:spacing w:after="120"/>
        <w:ind w:right="-1"/>
        <w:jc w:val="both"/>
        <w:rPr>
          <w:snapToGrid/>
          <w:sz w:val="22"/>
          <w:szCs w:val="22"/>
        </w:rPr>
      </w:pPr>
      <w:r w:rsidRPr="006E4404">
        <w:rPr>
          <w:snapToGrid/>
          <w:sz w:val="22"/>
          <w:szCs w:val="22"/>
        </w:rPr>
        <w:t>1.6. Учетная политика направлена на  обеспечение соблюдения следующих требований:</w:t>
      </w:r>
    </w:p>
    <w:p w:rsidR="00E419DD" w:rsidRPr="006E4404" w:rsidRDefault="00E419DD" w:rsidP="00E419DD">
      <w:pPr>
        <w:suppressAutoHyphens/>
        <w:autoSpaceDE w:val="0"/>
        <w:autoSpaceDN w:val="0"/>
        <w:adjustRightInd w:val="0"/>
        <w:spacing w:line="240" w:lineRule="atLeast"/>
        <w:jc w:val="both"/>
        <w:rPr>
          <w:color w:val="000000"/>
          <w:sz w:val="22"/>
          <w:szCs w:val="22"/>
        </w:rPr>
      </w:pPr>
      <w:r w:rsidRPr="006E4404">
        <w:rPr>
          <w:color w:val="000000"/>
          <w:sz w:val="22"/>
          <w:szCs w:val="22"/>
        </w:rPr>
        <w:t>1.6.1. Требование полноты</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Информация в бухгалтерской (финансовой) отчетности должна быть полной, то есть должна содержать информацию обо всех активах и обязательствах, доходах и расходах Общества с учетом существенности и затрат на ее создание. В связи с этим при составлении отчетности необходимыми являются:</w:t>
      </w:r>
    </w:p>
    <w:p w:rsidR="00E419DD" w:rsidRPr="006E4404" w:rsidRDefault="00E419DD" w:rsidP="00E419DD">
      <w:pPr>
        <w:numPr>
          <w:ilvl w:val="0"/>
          <w:numId w:val="10"/>
        </w:numPr>
        <w:tabs>
          <w:tab w:val="clear" w:pos="981"/>
          <w:tab w:val="num" w:pos="426"/>
        </w:tabs>
        <w:suppressAutoHyphens/>
        <w:autoSpaceDE w:val="0"/>
        <w:autoSpaceDN w:val="0"/>
        <w:adjustRightInd w:val="0"/>
        <w:spacing w:line="240" w:lineRule="atLeast"/>
        <w:ind w:left="364"/>
        <w:jc w:val="both"/>
        <w:rPr>
          <w:color w:val="000000"/>
          <w:sz w:val="22"/>
          <w:szCs w:val="22"/>
        </w:rPr>
      </w:pPr>
      <w:r w:rsidRPr="006E4404">
        <w:rPr>
          <w:color w:val="000000"/>
          <w:sz w:val="22"/>
          <w:szCs w:val="22"/>
        </w:rPr>
        <w:t>проведение инвентаризации;</w:t>
      </w:r>
    </w:p>
    <w:p w:rsidR="00E419DD" w:rsidRPr="006E4404" w:rsidRDefault="00E419DD" w:rsidP="00E419DD">
      <w:pPr>
        <w:numPr>
          <w:ilvl w:val="0"/>
          <w:numId w:val="10"/>
        </w:numPr>
        <w:tabs>
          <w:tab w:val="clear" w:pos="981"/>
          <w:tab w:val="num" w:pos="426"/>
        </w:tabs>
        <w:suppressAutoHyphens/>
        <w:autoSpaceDE w:val="0"/>
        <w:autoSpaceDN w:val="0"/>
        <w:adjustRightInd w:val="0"/>
        <w:spacing w:line="240" w:lineRule="atLeast"/>
        <w:ind w:left="364"/>
        <w:jc w:val="both"/>
        <w:rPr>
          <w:color w:val="000000"/>
          <w:sz w:val="22"/>
          <w:szCs w:val="22"/>
        </w:rPr>
      </w:pPr>
      <w:r w:rsidRPr="006E4404">
        <w:rPr>
          <w:color w:val="000000"/>
          <w:sz w:val="22"/>
          <w:szCs w:val="22"/>
        </w:rPr>
        <w:t>включение всех счетов, по которым отражаются операции, в отчетность;</w:t>
      </w:r>
    </w:p>
    <w:p w:rsidR="00E419DD" w:rsidRPr="006E4404" w:rsidRDefault="00E419DD" w:rsidP="00E419DD">
      <w:pPr>
        <w:numPr>
          <w:ilvl w:val="0"/>
          <w:numId w:val="10"/>
        </w:numPr>
        <w:tabs>
          <w:tab w:val="clear" w:pos="981"/>
          <w:tab w:val="num" w:pos="426"/>
        </w:tabs>
        <w:suppressAutoHyphens/>
        <w:autoSpaceDE w:val="0"/>
        <w:autoSpaceDN w:val="0"/>
        <w:adjustRightInd w:val="0"/>
        <w:spacing w:line="240" w:lineRule="atLeast"/>
        <w:ind w:left="364"/>
        <w:jc w:val="both"/>
        <w:rPr>
          <w:color w:val="000000"/>
          <w:sz w:val="22"/>
          <w:szCs w:val="22"/>
        </w:rPr>
      </w:pPr>
      <w:r w:rsidRPr="006E4404">
        <w:rPr>
          <w:color w:val="000000"/>
          <w:sz w:val="22"/>
          <w:szCs w:val="22"/>
        </w:rPr>
        <w:t xml:space="preserve">оценка всей внешней и внутренней информации; </w:t>
      </w:r>
    </w:p>
    <w:p w:rsidR="00E419DD" w:rsidRPr="006E4404" w:rsidRDefault="00E419DD" w:rsidP="00E419DD">
      <w:pPr>
        <w:numPr>
          <w:ilvl w:val="0"/>
          <w:numId w:val="10"/>
        </w:numPr>
        <w:tabs>
          <w:tab w:val="clear" w:pos="981"/>
          <w:tab w:val="num" w:pos="426"/>
        </w:tabs>
        <w:suppressAutoHyphens/>
        <w:autoSpaceDE w:val="0"/>
        <w:autoSpaceDN w:val="0"/>
        <w:adjustRightInd w:val="0"/>
        <w:spacing w:line="240" w:lineRule="atLeast"/>
        <w:ind w:left="364"/>
        <w:jc w:val="both"/>
        <w:rPr>
          <w:color w:val="000000"/>
          <w:sz w:val="22"/>
          <w:szCs w:val="22"/>
        </w:rPr>
      </w:pPr>
      <w:r w:rsidRPr="006E4404">
        <w:rPr>
          <w:color w:val="000000"/>
          <w:sz w:val="22"/>
          <w:szCs w:val="22"/>
        </w:rPr>
        <w:t>проверка существования возможных рисков и условных обязательств (например, по  имеющимся договорам, судебным спорам, финансовым обязательствам и т.д.);</w:t>
      </w:r>
    </w:p>
    <w:p w:rsidR="00E419DD" w:rsidRPr="006E4404" w:rsidRDefault="00E419DD" w:rsidP="00E419DD">
      <w:pPr>
        <w:numPr>
          <w:ilvl w:val="0"/>
          <w:numId w:val="10"/>
        </w:numPr>
        <w:tabs>
          <w:tab w:val="clear" w:pos="981"/>
          <w:tab w:val="num" w:pos="426"/>
        </w:tabs>
        <w:suppressAutoHyphens/>
        <w:autoSpaceDE w:val="0"/>
        <w:autoSpaceDN w:val="0"/>
        <w:adjustRightInd w:val="0"/>
        <w:spacing w:after="120" w:line="240" w:lineRule="atLeast"/>
        <w:ind w:left="364"/>
        <w:jc w:val="both"/>
        <w:rPr>
          <w:color w:val="000000"/>
          <w:sz w:val="22"/>
          <w:szCs w:val="22"/>
        </w:rPr>
      </w:pPr>
      <w:r w:rsidRPr="006E4404">
        <w:rPr>
          <w:color w:val="000000"/>
          <w:sz w:val="22"/>
          <w:szCs w:val="22"/>
        </w:rPr>
        <w:t>учет событий, возникших после отчетной даты.</w:t>
      </w:r>
    </w:p>
    <w:p w:rsidR="00E419DD" w:rsidRPr="006E4404" w:rsidRDefault="00E419DD" w:rsidP="00E419DD">
      <w:pPr>
        <w:suppressAutoHyphens/>
        <w:jc w:val="both"/>
        <w:rPr>
          <w:sz w:val="22"/>
          <w:szCs w:val="22"/>
        </w:rPr>
      </w:pPr>
      <w:r w:rsidRPr="006E4404">
        <w:rPr>
          <w:sz w:val="22"/>
          <w:szCs w:val="22"/>
        </w:rPr>
        <w:t>Существенной признается информация, которая может оказать существенное влияние на пользователей бухгалтерской (финансовой) отчетности при принятии ими решений. При определении существенности отдельных фактов хозяйственной деятельности могут быть применены количественные и/или качественные оценки.</w:t>
      </w:r>
    </w:p>
    <w:p w:rsidR="00E419DD" w:rsidRPr="006E4404" w:rsidRDefault="00E419DD" w:rsidP="00E419DD">
      <w:pPr>
        <w:suppressAutoHyphens/>
        <w:jc w:val="both"/>
        <w:rPr>
          <w:sz w:val="22"/>
          <w:szCs w:val="22"/>
        </w:rPr>
      </w:pPr>
      <w:r w:rsidRPr="006E4404">
        <w:rPr>
          <w:sz w:val="22"/>
          <w:szCs w:val="22"/>
        </w:rPr>
        <w:t xml:space="preserve">При выборе количественной оценки в целях раскрытия информации в бухгалтерской (финансовой) отчетности существенной может быть признана сумма, отношение которой к общему итогу одноименных показателей составляет не менее 5 %. </w:t>
      </w:r>
    </w:p>
    <w:p w:rsidR="00E419DD" w:rsidRPr="006E4404" w:rsidRDefault="00E419DD" w:rsidP="00E419DD">
      <w:pPr>
        <w:suppressAutoHyphens/>
        <w:jc w:val="both"/>
        <w:rPr>
          <w:sz w:val="22"/>
          <w:szCs w:val="22"/>
        </w:rPr>
      </w:pPr>
      <w:r w:rsidRPr="006E4404">
        <w:rPr>
          <w:sz w:val="22"/>
          <w:szCs w:val="22"/>
        </w:rPr>
        <w:t>При оценке существенности отдельных фактов хозяйственной деятельности должны быть приняты во внимание качественные оценки возникающих последствий: налоговые, имиджевые, производственные, коммерческие риски. На основе профессионального суждения главного бухгалтера Общества, иного специалиста ответственного подразделения уровень существенности может быть выбран ниже показателя 5%.</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1.6.2. Требование своевременности</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 xml:space="preserve">Факты хозяйственной деятельности должны отражаться в бухгалтерском учете и бухгалтерской (финансовой) отчетности своевременно. </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 xml:space="preserve">В целях обеспечения выполнения требований полноты и своевременности отражения в бухгалтерском учете и бухгалтерской (финансовой) отчетности  фактов хозяйственной деятельности последние отражаются в том отчетном периоде, в котором они имели место, на основании информации, подготовленной лицами, ответственными за ее предоставление. </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1.6.3. Требование осмотрительности</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Осмотрительность – это использование определенной степени осторожности в процессе формирования суждений, необходимых при проведении расчетов и учетных оценок, требуемых в условиях неопределенности так, чтобы активы и доходы не были завышены, а обязательства или расходы – занижены. Данное требование обеспечивается большей готовностью к признанию в бухгалтерском учете расходов и обязательств, чем возможных доходов и активов, не допуская создания скрытых резервов.</w:t>
      </w:r>
    </w:p>
    <w:p w:rsidR="00E419DD" w:rsidRPr="006E4404" w:rsidRDefault="00E419DD" w:rsidP="00E419DD">
      <w:pPr>
        <w:suppressAutoHyphens/>
        <w:autoSpaceDE w:val="0"/>
        <w:autoSpaceDN w:val="0"/>
        <w:adjustRightInd w:val="0"/>
        <w:spacing w:before="120" w:after="120" w:line="240" w:lineRule="atLeast"/>
        <w:jc w:val="both"/>
        <w:rPr>
          <w:color w:val="000000"/>
          <w:sz w:val="22"/>
          <w:szCs w:val="22"/>
        </w:rPr>
      </w:pPr>
      <w:r w:rsidRPr="006E4404">
        <w:rPr>
          <w:color w:val="000000"/>
          <w:sz w:val="22"/>
          <w:szCs w:val="22"/>
        </w:rPr>
        <w:t xml:space="preserve">В частности, Общество может признавать дебиторскую задолженность нереальной для взыскания (до срока истечения исковой давности), на основании результатов собственного расследования при условии проведения регламентированных процедур, если затраты на взыскание дебиторской задолженности превышают  возможные поступления экономических выгод.  </w:t>
      </w:r>
    </w:p>
    <w:p w:rsidR="00E419DD" w:rsidRPr="006E4404" w:rsidRDefault="00E419DD" w:rsidP="00E419DD">
      <w:pPr>
        <w:suppressAutoHyphens/>
        <w:autoSpaceDE w:val="0"/>
        <w:autoSpaceDN w:val="0"/>
        <w:adjustRightInd w:val="0"/>
        <w:spacing w:after="120" w:line="240" w:lineRule="atLeast"/>
        <w:jc w:val="both"/>
        <w:rPr>
          <w:color w:val="000000"/>
          <w:sz w:val="22"/>
          <w:szCs w:val="22"/>
        </w:rPr>
      </w:pPr>
      <w:r w:rsidRPr="006E4404">
        <w:rPr>
          <w:color w:val="000000"/>
          <w:sz w:val="22"/>
          <w:szCs w:val="22"/>
        </w:rPr>
        <w:t>1.6.4. Требование приоритета содержания перед формой</w:t>
      </w:r>
    </w:p>
    <w:p w:rsidR="00E419DD" w:rsidRPr="006E4404" w:rsidRDefault="00E419DD" w:rsidP="00E419DD">
      <w:pPr>
        <w:suppressAutoHyphens/>
        <w:autoSpaceDE w:val="0"/>
        <w:autoSpaceDN w:val="0"/>
        <w:adjustRightInd w:val="0"/>
        <w:spacing w:after="120" w:line="240" w:lineRule="atLeast"/>
        <w:jc w:val="both"/>
        <w:rPr>
          <w:color w:val="000000"/>
          <w:sz w:val="22"/>
          <w:szCs w:val="22"/>
        </w:rPr>
      </w:pPr>
      <w:r w:rsidRPr="006E4404">
        <w:rPr>
          <w:color w:val="000000"/>
          <w:sz w:val="22"/>
          <w:szCs w:val="22"/>
        </w:rPr>
        <w:t>В соответствии с этим требованием экономическая сущность событий имеет большее значение по сравнению с их формальным, юридическим оформлением. Отражению в учете и  отчетности подлежит экономическая сущность того или иного события, т. е. в бухгалтерском учете и отчетности факты хозяйственной деятельности должны отражаться исходя не столько из их правовой формы, сколько  из экономического содержания и условий хозяйствования.</w:t>
      </w:r>
    </w:p>
    <w:p w:rsidR="00E419DD" w:rsidRPr="006E4404" w:rsidRDefault="00E419DD" w:rsidP="00E419DD">
      <w:pPr>
        <w:suppressAutoHyphens/>
        <w:autoSpaceDE w:val="0"/>
        <w:autoSpaceDN w:val="0"/>
        <w:adjustRightInd w:val="0"/>
        <w:spacing w:after="120" w:line="240" w:lineRule="atLeast"/>
        <w:jc w:val="both"/>
        <w:rPr>
          <w:color w:val="000000"/>
          <w:sz w:val="22"/>
          <w:szCs w:val="22"/>
        </w:rPr>
      </w:pPr>
      <w:r w:rsidRPr="006E4404">
        <w:rPr>
          <w:color w:val="000000"/>
          <w:sz w:val="22"/>
          <w:szCs w:val="22"/>
        </w:rPr>
        <w:t>1.6.5. Требование непротиворечивости</w:t>
      </w:r>
    </w:p>
    <w:p w:rsidR="00E419DD" w:rsidRPr="006E4404" w:rsidRDefault="00E419DD" w:rsidP="00E419DD">
      <w:pPr>
        <w:widowControl/>
        <w:suppressAutoHyphens/>
        <w:autoSpaceDE w:val="0"/>
        <w:autoSpaceDN w:val="0"/>
        <w:adjustRightInd w:val="0"/>
        <w:spacing w:after="120" w:line="240" w:lineRule="atLeast"/>
        <w:jc w:val="both"/>
        <w:rPr>
          <w:color w:val="000000"/>
          <w:sz w:val="22"/>
          <w:szCs w:val="22"/>
        </w:rPr>
      </w:pPr>
      <w:r w:rsidRPr="006E4404">
        <w:rPr>
          <w:color w:val="000000"/>
          <w:sz w:val="22"/>
          <w:szCs w:val="22"/>
        </w:rPr>
        <w:t xml:space="preserve">Данные аналитического учета должны быть тождественны остаткам и оборотам  по счетам синтетического учета на последний календарный день каждого месяца.    </w:t>
      </w:r>
    </w:p>
    <w:p w:rsidR="00E419DD" w:rsidRPr="006E4404" w:rsidRDefault="00E419DD" w:rsidP="00E419DD">
      <w:pPr>
        <w:suppressAutoHyphens/>
        <w:autoSpaceDE w:val="0"/>
        <w:autoSpaceDN w:val="0"/>
        <w:adjustRightInd w:val="0"/>
        <w:spacing w:after="120" w:line="240" w:lineRule="atLeast"/>
        <w:jc w:val="both"/>
        <w:rPr>
          <w:color w:val="000000"/>
          <w:sz w:val="22"/>
          <w:szCs w:val="22"/>
        </w:rPr>
      </w:pPr>
      <w:r w:rsidRPr="006E4404">
        <w:rPr>
          <w:color w:val="000000"/>
          <w:sz w:val="22"/>
          <w:szCs w:val="22"/>
        </w:rPr>
        <w:t>1.6.6. Требование рациональности</w:t>
      </w:r>
    </w:p>
    <w:p w:rsidR="00E419DD" w:rsidRPr="006E4404" w:rsidRDefault="00E419DD" w:rsidP="00E419DD">
      <w:pPr>
        <w:widowControl/>
        <w:suppressAutoHyphens/>
        <w:autoSpaceDE w:val="0"/>
        <w:autoSpaceDN w:val="0"/>
        <w:adjustRightInd w:val="0"/>
        <w:spacing w:after="120" w:line="240" w:lineRule="atLeast"/>
        <w:jc w:val="both"/>
        <w:rPr>
          <w:color w:val="000000"/>
          <w:sz w:val="22"/>
          <w:szCs w:val="22"/>
        </w:rPr>
      </w:pPr>
      <w:r w:rsidRPr="006E4404">
        <w:rPr>
          <w:color w:val="000000"/>
          <w:sz w:val="22"/>
          <w:szCs w:val="22"/>
        </w:rPr>
        <w:t xml:space="preserve">При выборе конкретных способов оценок и способов ведения бухгалтерского учета Общество должно учитывать экономические условия хозяйствования и отношение величины  хозяйственных операций, для которых данные способы планируется применять, к итоговым величинам чистых активов или соответствующих показателей Отчета о финансовых результатах.  </w:t>
      </w:r>
    </w:p>
    <w:p w:rsidR="00E419DD" w:rsidRPr="006E4404" w:rsidRDefault="00E419DD" w:rsidP="00E419DD">
      <w:pPr>
        <w:widowControl/>
        <w:suppressAutoHyphens/>
        <w:autoSpaceDE w:val="0"/>
        <w:autoSpaceDN w:val="0"/>
        <w:adjustRightInd w:val="0"/>
        <w:spacing w:after="120" w:line="240" w:lineRule="atLeast"/>
        <w:jc w:val="both"/>
        <w:rPr>
          <w:color w:val="000000"/>
          <w:sz w:val="22"/>
          <w:szCs w:val="22"/>
        </w:rPr>
      </w:pPr>
      <w:r w:rsidRPr="006E4404">
        <w:rPr>
          <w:snapToGrid/>
          <w:sz w:val="22"/>
          <w:szCs w:val="22"/>
        </w:rPr>
        <w:t>1.7.</w:t>
      </w:r>
      <w:r w:rsidRPr="006E4404">
        <w:rPr>
          <w:sz w:val="22"/>
          <w:szCs w:val="22"/>
        </w:rPr>
        <w:t xml:space="preserve"> Изменение Учетной политики производится в случаях:</w:t>
      </w:r>
    </w:p>
    <w:p w:rsidR="00E419DD" w:rsidRPr="006E4404" w:rsidRDefault="00E419DD" w:rsidP="00E419DD">
      <w:pPr>
        <w:numPr>
          <w:ilvl w:val="0"/>
          <w:numId w:val="9"/>
        </w:numPr>
        <w:suppressAutoHyphens/>
        <w:spacing w:after="120"/>
        <w:ind w:right="45"/>
        <w:jc w:val="both"/>
        <w:rPr>
          <w:sz w:val="22"/>
          <w:szCs w:val="22"/>
        </w:rPr>
      </w:pPr>
      <w:r w:rsidRPr="006E4404">
        <w:rPr>
          <w:sz w:val="22"/>
          <w:szCs w:val="22"/>
        </w:rPr>
        <w:t xml:space="preserve">изменения требований, установленных законодательством Российской Федерации о бухгалтерском учете, федеральными и (или) отраслевыми стандартами; </w:t>
      </w:r>
    </w:p>
    <w:p w:rsidR="00E419DD" w:rsidRPr="006E4404" w:rsidRDefault="00E419DD" w:rsidP="00E419DD">
      <w:pPr>
        <w:numPr>
          <w:ilvl w:val="0"/>
          <w:numId w:val="9"/>
        </w:numPr>
        <w:suppressAutoHyphens/>
        <w:spacing w:after="120"/>
        <w:ind w:right="45"/>
        <w:jc w:val="both"/>
        <w:rPr>
          <w:sz w:val="22"/>
          <w:szCs w:val="22"/>
        </w:rPr>
      </w:pPr>
      <w:r w:rsidRPr="006E4404">
        <w:rPr>
          <w:sz w:val="22"/>
          <w:szCs w:val="22"/>
        </w:rPr>
        <w:t>разработки или выборе нового способа ведения бухгалтерского учета, применение которого приводит к повышению качества информации об объекте бухгалтерского учета или меньшую трудоемкость учетного процесса без снижения степени достоверности информации;</w:t>
      </w:r>
    </w:p>
    <w:p w:rsidR="00E419DD" w:rsidRPr="006E4404" w:rsidRDefault="00E419DD" w:rsidP="00E419DD">
      <w:pPr>
        <w:numPr>
          <w:ilvl w:val="0"/>
          <w:numId w:val="9"/>
        </w:numPr>
        <w:suppressAutoHyphens/>
        <w:spacing w:after="120"/>
        <w:ind w:right="45"/>
        <w:jc w:val="both"/>
        <w:rPr>
          <w:sz w:val="22"/>
          <w:szCs w:val="22"/>
        </w:rPr>
      </w:pPr>
      <w:r w:rsidRPr="006E4404">
        <w:rPr>
          <w:sz w:val="22"/>
          <w:szCs w:val="22"/>
        </w:rPr>
        <w:t xml:space="preserve">существенного изменения условий деятельности, связанных с реорганизацией Общества (слияния, разделения, присоединения), внутренних структурных преобразований, разработкой и внедрением систем автоматизации процессов управления, и т.п. </w:t>
      </w:r>
    </w:p>
    <w:p w:rsidR="00E419DD" w:rsidRPr="006E4404" w:rsidRDefault="00E419DD" w:rsidP="00E419DD">
      <w:pPr>
        <w:suppressAutoHyphens/>
        <w:spacing w:after="120"/>
        <w:ind w:right="45"/>
        <w:jc w:val="both"/>
        <w:rPr>
          <w:sz w:val="22"/>
          <w:szCs w:val="22"/>
        </w:rPr>
      </w:pPr>
      <w:r w:rsidRPr="006E4404">
        <w:rPr>
          <w:sz w:val="22"/>
          <w:szCs w:val="22"/>
        </w:rPr>
        <w:t>Если при формировании Учетной политики по конкретному вопросу организации и ведения бухгалтерского учета в нормативных правовых актах не установлены способы ведения бухгалтерского учета, то разработка способа осуществляется исходя из соблюдения принципов  и требований организации и ведения бухгалтерского учета, Международных стандартов финансовой отчетности.</w:t>
      </w:r>
    </w:p>
    <w:p w:rsidR="00E419DD" w:rsidRPr="006E4404" w:rsidRDefault="00E419DD" w:rsidP="00E419DD">
      <w:pPr>
        <w:suppressAutoHyphens/>
        <w:spacing w:after="120"/>
        <w:ind w:right="45"/>
        <w:jc w:val="both"/>
        <w:rPr>
          <w:sz w:val="22"/>
          <w:szCs w:val="22"/>
        </w:rPr>
      </w:pPr>
      <w:r w:rsidRPr="006E4404">
        <w:rPr>
          <w:sz w:val="22"/>
          <w:szCs w:val="22"/>
        </w:rPr>
        <w:t xml:space="preserve">Учетная политика может быть дополнена в течение года при выборе способов ведения бухгалтерского учета, отражающих факты хозяйственной деятельности, которые возникли впервые в деятельности Общества, описание которых отсутствует в нормативных правовых актах, либо связано с противоречиями в законодательстве, а также в других случаях, обусловленных спецификой условий хозяйствования. Изменения и дополнения оформляются в виде организационно-распорядительных документов (приказов, распоряжений). </w:t>
      </w:r>
    </w:p>
    <w:p w:rsidR="00E419DD" w:rsidRPr="006E4404" w:rsidRDefault="00E419DD" w:rsidP="00E419DD">
      <w:pPr>
        <w:pStyle w:val="22"/>
        <w:suppressAutoHyphens/>
        <w:spacing w:before="60" w:after="60"/>
        <w:jc w:val="both"/>
        <w:rPr>
          <w:sz w:val="22"/>
          <w:szCs w:val="22"/>
        </w:rPr>
      </w:pPr>
      <w:r w:rsidRPr="006E4404">
        <w:rPr>
          <w:sz w:val="22"/>
          <w:szCs w:val="22"/>
        </w:rPr>
        <w:t xml:space="preserve">Последствия изменения учетной политики в связи с изменением законодательства Российской Федерации отражаются в бухгалтерском учете и отчетности в порядке, установленном соответствующими нормативными правовыми актами. Если в этих документах не устанавливается порядок отражения последствий изменения учетной политики, а также при смене одного способа учета на другой для уже отражаемых в учете и отчетности событий и фактов, такие последствия изменений отражаются в бухгалтерской отчетности ретроспективно в случае их существенности. </w:t>
      </w:r>
    </w:p>
    <w:p w:rsidR="00E419DD" w:rsidRPr="006E4404" w:rsidRDefault="00E419DD" w:rsidP="00E419DD">
      <w:pPr>
        <w:pStyle w:val="22"/>
        <w:suppressAutoHyphens/>
        <w:spacing w:before="60" w:after="60"/>
        <w:jc w:val="both"/>
        <w:rPr>
          <w:sz w:val="22"/>
          <w:szCs w:val="22"/>
        </w:rPr>
      </w:pPr>
      <w:r w:rsidRPr="006E4404">
        <w:rPr>
          <w:sz w:val="22"/>
          <w:szCs w:val="22"/>
        </w:rPr>
        <w:t xml:space="preserve">В качестве примера изменения способа учета можно привести порядок отражения части доходов в качестве доходов будущих периодов, учитывая специфику деятельности Общества,  что приводит к повышению достоверности отражения фактов хозяйственной деятельности. </w:t>
      </w:r>
    </w:p>
    <w:p w:rsidR="00E419DD" w:rsidRPr="006E4404" w:rsidRDefault="00E419DD" w:rsidP="00E419DD">
      <w:pPr>
        <w:pStyle w:val="22"/>
        <w:suppressAutoHyphens/>
        <w:spacing w:before="60" w:after="60"/>
        <w:jc w:val="both"/>
        <w:rPr>
          <w:sz w:val="22"/>
          <w:szCs w:val="22"/>
        </w:rPr>
      </w:pPr>
      <w:r w:rsidRPr="006E4404">
        <w:rPr>
          <w:sz w:val="22"/>
          <w:szCs w:val="22"/>
        </w:rPr>
        <w:t>При ретроспективном отражении последствий изменения учетной политики исходят из предположения, что как будто бы новые способы учета применялись с момента возникновения фактов хозяйственной деятельности данного вида. Эффект отражается путем изменения суммы нераспределенной прибыли прошлых лет на начало самого первого приводимого в отчетности периода.</w:t>
      </w:r>
    </w:p>
    <w:p w:rsidR="00E419DD" w:rsidRPr="006E4404" w:rsidRDefault="00E419DD" w:rsidP="00E419DD">
      <w:pPr>
        <w:pStyle w:val="22"/>
        <w:suppressAutoHyphens/>
        <w:spacing w:before="60" w:after="60"/>
        <w:jc w:val="both"/>
        <w:rPr>
          <w:sz w:val="22"/>
          <w:szCs w:val="22"/>
        </w:rPr>
      </w:pPr>
      <w:r w:rsidRPr="006E4404">
        <w:rPr>
          <w:sz w:val="22"/>
          <w:szCs w:val="22"/>
        </w:rPr>
        <w:t xml:space="preserve"> Величина эффекта определяется как разница между:</w:t>
      </w:r>
    </w:p>
    <w:p w:rsidR="00E419DD" w:rsidRPr="006E4404" w:rsidRDefault="00E419DD" w:rsidP="00E419DD">
      <w:pPr>
        <w:pStyle w:val="Text"/>
        <w:widowControl/>
        <w:numPr>
          <w:ilvl w:val="0"/>
          <w:numId w:val="11"/>
        </w:numPr>
        <w:tabs>
          <w:tab w:val="clear" w:pos="284"/>
        </w:tabs>
        <w:suppressAutoHyphens/>
        <w:spacing w:before="60" w:after="60"/>
        <w:ind w:left="720"/>
        <w:rPr>
          <w:szCs w:val="22"/>
          <w:lang w:val="ru-RU"/>
        </w:rPr>
      </w:pPr>
      <w:r w:rsidRPr="006E4404">
        <w:rPr>
          <w:szCs w:val="22"/>
          <w:lang w:val="ru-RU"/>
        </w:rPr>
        <w:t xml:space="preserve">суммой нераспределенной прибыли на начало отчетного периода и </w:t>
      </w:r>
    </w:p>
    <w:p w:rsidR="00E419DD" w:rsidRPr="006E4404" w:rsidRDefault="00E419DD" w:rsidP="00E419DD">
      <w:pPr>
        <w:numPr>
          <w:ilvl w:val="0"/>
          <w:numId w:val="11"/>
        </w:numPr>
        <w:suppressAutoHyphens/>
        <w:spacing w:before="60" w:after="60"/>
        <w:ind w:left="720"/>
        <w:jc w:val="both"/>
        <w:rPr>
          <w:sz w:val="22"/>
          <w:szCs w:val="22"/>
        </w:rPr>
      </w:pPr>
      <w:r w:rsidRPr="006E4404">
        <w:rPr>
          <w:sz w:val="22"/>
          <w:szCs w:val="22"/>
        </w:rPr>
        <w:t xml:space="preserve">суммой нераспределенной прибыли на начало отчетного периода, </w:t>
      </w:r>
      <w:r w:rsidRPr="006E4404">
        <w:rPr>
          <w:iCs/>
          <w:sz w:val="22"/>
          <w:szCs w:val="22"/>
        </w:rPr>
        <w:t>которая была бы, если бы новые способы учета применялись уже в прошлых периодах.</w:t>
      </w:r>
    </w:p>
    <w:p w:rsidR="00E419DD" w:rsidRPr="006E4404" w:rsidRDefault="00E419DD" w:rsidP="00E419DD">
      <w:pPr>
        <w:suppressAutoHyphens/>
        <w:spacing w:before="60" w:after="60"/>
        <w:jc w:val="both"/>
        <w:rPr>
          <w:sz w:val="22"/>
          <w:szCs w:val="22"/>
        </w:rPr>
      </w:pPr>
      <w:r w:rsidRPr="006E4404">
        <w:rPr>
          <w:sz w:val="22"/>
          <w:szCs w:val="22"/>
        </w:rPr>
        <w:t>При этом сумма разницы отражается за вычетом возникающего в результате отложенного налога на прибыль. Финансовый результат отчетного года определяется на основе применения новых способов учета. Если величина эффекта составляет величину не более 5 % от суммы нераспределенной прибыли на начало самого первого приводимого в отчетности периода, то корректировка отражения последствий изменения учетной политики ретроспективным способом не производится.</w:t>
      </w:r>
    </w:p>
    <w:p w:rsidR="00E419DD" w:rsidRPr="006E4404" w:rsidRDefault="00E419DD" w:rsidP="00E419DD">
      <w:pPr>
        <w:pStyle w:val="21"/>
        <w:suppressAutoHyphens/>
        <w:spacing w:before="120" w:after="120"/>
        <w:ind w:right="45" w:firstLine="0"/>
        <w:rPr>
          <w:snapToGrid w:val="0"/>
          <w:sz w:val="22"/>
          <w:szCs w:val="22"/>
        </w:rPr>
      </w:pPr>
      <w:r w:rsidRPr="006E4404">
        <w:rPr>
          <w:snapToGrid w:val="0"/>
          <w:sz w:val="22"/>
          <w:szCs w:val="22"/>
        </w:rPr>
        <w:t xml:space="preserve">Если оценка в денежном выражении последствий изменения учетной политики в отношении периодов, предшествующих отчетному, не может быть проведена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перспективно без изменения показателей суммы нераспределенной прибыли на начало отчетного периода. </w:t>
      </w:r>
    </w:p>
    <w:p w:rsidR="00E419DD" w:rsidRPr="006E4404" w:rsidRDefault="00E419DD" w:rsidP="00E419DD">
      <w:pPr>
        <w:pStyle w:val="22"/>
        <w:suppressAutoHyphens/>
        <w:spacing w:after="120"/>
        <w:jc w:val="both"/>
        <w:rPr>
          <w:sz w:val="22"/>
          <w:szCs w:val="22"/>
        </w:rPr>
      </w:pPr>
      <w:r w:rsidRPr="006E4404">
        <w:rPr>
          <w:sz w:val="22"/>
          <w:szCs w:val="22"/>
        </w:rPr>
        <w:t>1.8. Понятие справедливой (рыночной) стоимости</w:t>
      </w:r>
    </w:p>
    <w:p w:rsidR="00E419DD" w:rsidRPr="006E4404" w:rsidRDefault="00E419DD" w:rsidP="00E419DD">
      <w:pPr>
        <w:widowControl/>
        <w:suppressAutoHyphens/>
        <w:autoSpaceDE w:val="0"/>
        <w:autoSpaceDN w:val="0"/>
        <w:adjustRightInd w:val="0"/>
        <w:spacing w:before="120"/>
        <w:jc w:val="both"/>
        <w:rPr>
          <w:snapToGrid/>
          <w:color w:val="000000"/>
          <w:sz w:val="22"/>
          <w:szCs w:val="22"/>
        </w:rPr>
      </w:pPr>
      <w:r w:rsidRPr="006E4404">
        <w:rPr>
          <w:snapToGrid/>
          <w:color w:val="000000"/>
          <w:sz w:val="22"/>
          <w:szCs w:val="22"/>
        </w:rPr>
        <w:t xml:space="preserve">Для целей настоящей Учетной политики справедливой (рыночной) стоимостью актива признается цена, которая может быть получена при продаже актива (или же заплачена при передаче обязательства) в рамках обычной операции по совершению сделки между участниками рынка на дату измерения. </w:t>
      </w:r>
    </w:p>
    <w:p w:rsidR="00E419DD" w:rsidRPr="006E4404" w:rsidRDefault="00E419DD" w:rsidP="00E419DD">
      <w:pPr>
        <w:widowControl/>
        <w:suppressAutoHyphens/>
        <w:autoSpaceDE w:val="0"/>
        <w:autoSpaceDN w:val="0"/>
        <w:adjustRightInd w:val="0"/>
        <w:spacing w:before="120"/>
        <w:jc w:val="both"/>
        <w:rPr>
          <w:bCs/>
          <w:snapToGrid/>
          <w:color w:val="000000"/>
          <w:sz w:val="22"/>
          <w:szCs w:val="22"/>
        </w:rPr>
      </w:pPr>
      <w:r w:rsidRPr="006E4404">
        <w:rPr>
          <w:bCs/>
          <w:snapToGrid/>
          <w:color w:val="000000"/>
          <w:sz w:val="22"/>
          <w:szCs w:val="22"/>
        </w:rPr>
        <w:t xml:space="preserve">1.8.1. Иерархия справедливой (рыночной) стоимости </w:t>
      </w:r>
    </w:p>
    <w:p w:rsidR="00E419DD" w:rsidRPr="006E4404" w:rsidRDefault="00E419DD" w:rsidP="00E419DD">
      <w:pPr>
        <w:widowControl/>
        <w:suppressAutoHyphens/>
        <w:autoSpaceDE w:val="0"/>
        <w:autoSpaceDN w:val="0"/>
        <w:adjustRightInd w:val="0"/>
        <w:spacing w:before="240"/>
        <w:jc w:val="both"/>
        <w:rPr>
          <w:snapToGrid/>
          <w:color w:val="000000"/>
          <w:sz w:val="22"/>
          <w:szCs w:val="22"/>
        </w:rPr>
      </w:pPr>
      <w:r w:rsidRPr="006E4404">
        <w:rPr>
          <w:snapToGrid/>
          <w:color w:val="000000"/>
          <w:sz w:val="22"/>
          <w:szCs w:val="22"/>
        </w:rPr>
        <w:t>Измерения по справедливой (рыночной) стоимости подразделяются на три уровня в зависимости от того, где максимально используются наблюдаемые данные и в минимальной степени  ненаблюдаемые:</w:t>
      </w:r>
    </w:p>
    <w:p w:rsidR="00E419DD" w:rsidRPr="006E4404" w:rsidRDefault="00E419DD" w:rsidP="00E419DD">
      <w:pPr>
        <w:widowControl/>
        <w:numPr>
          <w:ilvl w:val="0"/>
          <w:numId w:val="12"/>
        </w:numPr>
        <w:tabs>
          <w:tab w:val="clear" w:pos="720"/>
          <w:tab w:val="num" w:pos="426"/>
        </w:tabs>
        <w:suppressAutoHyphens/>
        <w:autoSpaceDE w:val="0"/>
        <w:autoSpaceDN w:val="0"/>
        <w:adjustRightInd w:val="0"/>
        <w:ind w:left="426" w:hanging="426"/>
        <w:jc w:val="both"/>
        <w:rPr>
          <w:snapToGrid/>
          <w:color w:val="000000"/>
          <w:sz w:val="22"/>
          <w:szCs w:val="22"/>
        </w:rPr>
      </w:pPr>
      <w:r w:rsidRPr="006E4404">
        <w:rPr>
          <w:snapToGrid/>
          <w:color w:val="000000"/>
          <w:sz w:val="22"/>
          <w:szCs w:val="22"/>
        </w:rPr>
        <w:t>первый уровень: котировки активных рынков для идентичных активов и обязательств, данные по которым организация может получить на дату измерения;</w:t>
      </w:r>
    </w:p>
    <w:p w:rsidR="00E419DD" w:rsidRPr="006E4404" w:rsidRDefault="00E419DD" w:rsidP="00E419DD">
      <w:pPr>
        <w:widowControl/>
        <w:numPr>
          <w:ilvl w:val="0"/>
          <w:numId w:val="12"/>
        </w:numPr>
        <w:tabs>
          <w:tab w:val="clear" w:pos="720"/>
          <w:tab w:val="num" w:pos="426"/>
        </w:tabs>
        <w:suppressAutoHyphens/>
        <w:autoSpaceDE w:val="0"/>
        <w:autoSpaceDN w:val="0"/>
        <w:adjustRightInd w:val="0"/>
        <w:ind w:left="426" w:hanging="426"/>
        <w:jc w:val="both"/>
        <w:rPr>
          <w:snapToGrid/>
          <w:color w:val="000000"/>
          <w:sz w:val="22"/>
          <w:szCs w:val="22"/>
        </w:rPr>
      </w:pPr>
      <w:r w:rsidRPr="006E4404">
        <w:rPr>
          <w:snapToGrid/>
          <w:color w:val="000000"/>
          <w:sz w:val="22"/>
          <w:szCs w:val="22"/>
        </w:rPr>
        <w:t>второй уровень: данные, отличные от котировок, оговоренных в предыдущем пункте, которые являются наблюдаемыми применительно к активу или обязательству, прямо либо косвенно;</w:t>
      </w:r>
    </w:p>
    <w:p w:rsidR="00E419DD" w:rsidRPr="006E4404" w:rsidRDefault="00E419DD" w:rsidP="00E419DD">
      <w:pPr>
        <w:widowControl/>
        <w:numPr>
          <w:ilvl w:val="0"/>
          <w:numId w:val="12"/>
        </w:numPr>
        <w:tabs>
          <w:tab w:val="clear" w:pos="720"/>
          <w:tab w:val="num" w:pos="426"/>
        </w:tabs>
        <w:suppressAutoHyphens/>
        <w:autoSpaceDE w:val="0"/>
        <w:autoSpaceDN w:val="0"/>
        <w:adjustRightInd w:val="0"/>
        <w:ind w:left="426" w:hanging="426"/>
        <w:jc w:val="both"/>
        <w:rPr>
          <w:snapToGrid/>
          <w:color w:val="000000"/>
          <w:sz w:val="22"/>
          <w:szCs w:val="22"/>
        </w:rPr>
      </w:pPr>
      <w:r w:rsidRPr="006E4404">
        <w:rPr>
          <w:snapToGrid/>
          <w:color w:val="000000"/>
          <w:sz w:val="22"/>
          <w:szCs w:val="22"/>
        </w:rPr>
        <w:t>третий уровень: ненаблюдаемые данные.</w:t>
      </w:r>
    </w:p>
    <w:p w:rsidR="00E419DD" w:rsidRPr="006E4404" w:rsidRDefault="00E419DD" w:rsidP="00E419DD">
      <w:pPr>
        <w:widowControl/>
        <w:suppressAutoHyphens/>
        <w:autoSpaceDE w:val="0"/>
        <w:autoSpaceDN w:val="0"/>
        <w:adjustRightInd w:val="0"/>
        <w:spacing w:before="240"/>
        <w:jc w:val="both"/>
        <w:rPr>
          <w:bCs/>
          <w:snapToGrid/>
          <w:color w:val="000000"/>
          <w:sz w:val="22"/>
          <w:szCs w:val="22"/>
        </w:rPr>
      </w:pPr>
      <w:r w:rsidRPr="006E4404">
        <w:rPr>
          <w:bCs/>
          <w:snapToGrid/>
          <w:color w:val="000000"/>
          <w:sz w:val="22"/>
          <w:szCs w:val="22"/>
        </w:rPr>
        <w:t xml:space="preserve">1.8.2. Методы оценки </w:t>
      </w:r>
    </w:p>
    <w:p w:rsidR="00E419DD" w:rsidRPr="006E4404" w:rsidRDefault="00E419DD" w:rsidP="00E419DD">
      <w:pPr>
        <w:widowControl/>
        <w:suppressAutoHyphens/>
        <w:autoSpaceDE w:val="0"/>
        <w:autoSpaceDN w:val="0"/>
        <w:adjustRightInd w:val="0"/>
        <w:spacing w:before="240"/>
        <w:jc w:val="both"/>
        <w:rPr>
          <w:snapToGrid/>
          <w:color w:val="000000"/>
          <w:sz w:val="22"/>
          <w:szCs w:val="22"/>
        </w:rPr>
      </w:pPr>
      <w:r w:rsidRPr="006E4404">
        <w:rPr>
          <w:snapToGrid/>
          <w:color w:val="000000"/>
          <w:sz w:val="22"/>
          <w:szCs w:val="22"/>
        </w:rPr>
        <w:t xml:space="preserve">К измерению  в отношении справедливой (рыночной) стоимости должны применяться следующие подходы: рыночный подход («market approach»), доходный подход (income approach) и затратный подход («cost approach»). </w:t>
      </w:r>
    </w:p>
    <w:p w:rsidR="00E419DD" w:rsidRPr="006E4404" w:rsidRDefault="00E419DD" w:rsidP="00E419DD">
      <w:pPr>
        <w:widowControl/>
        <w:suppressAutoHyphens/>
        <w:autoSpaceDE w:val="0"/>
        <w:autoSpaceDN w:val="0"/>
        <w:adjustRightInd w:val="0"/>
        <w:spacing w:before="120" w:after="120"/>
        <w:jc w:val="both"/>
        <w:rPr>
          <w:snapToGrid/>
          <w:color w:val="000000"/>
          <w:sz w:val="22"/>
          <w:szCs w:val="22"/>
        </w:rPr>
      </w:pPr>
      <w:r w:rsidRPr="006E4404">
        <w:rPr>
          <w:snapToGrid/>
          <w:color w:val="000000"/>
          <w:sz w:val="22"/>
          <w:szCs w:val="22"/>
        </w:rPr>
        <w:t>Рыночный подход: использует цены и другую связанную информацию по транзакциям на идентичные и похожие активы и обязательства. Широко распространенным методом является использование рыночных мультипликаторов, рассчитанных на основе сопоставимых данных.</w:t>
      </w:r>
    </w:p>
    <w:p w:rsidR="00E419DD" w:rsidRPr="006E4404" w:rsidRDefault="00E419DD" w:rsidP="00E419DD">
      <w:pPr>
        <w:widowControl/>
        <w:suppressAutoHyphens/>
        <w:autoSpaceDE w:val="0"/>
        <w:autoSpaceDN w:val="0"/>
        <w:adjustRightInd w:val="0"/>
        <w:spacing w:before="120" w:after="120"/>
        <w:jc w:val="both"/>
        <w:rPr>
          <w:snapToGrid/>
          <w:color w:val="000000"/>
          <w:sz w:val="22"/>
          <w:szCs w:val="22"/>
        </w:rPr>
      </w:pPr>
      <w:r w:rsidRPr="006E4404">
        <w:rPr>
          <w:snapToGrid/>
          <w:color w:val="000000"/>
          <w:sz w:val="22"/>
          <w:szCs w:val="22"/>
        </w:rPr>
        <w:t>Доходный подход: конвертирует будущие величины (например, денежные потоки дохода или затрат) в текущую (т.е. дисконтированную) стоимость. Методы оценки могут включать дисконтированный денежный поток (DCF), модели ценообразования опционов или любые другие методы на основе текущей стоимости.</w:t>
      </w:r>
    </w:p>
    <w:p w:rsidR="00E419DD" w:rsidRPr="006E4404" w:rsidRDefault="00E419DD" w:rsidP="00E419DD">
      <w:pPr>
        <w:widowControl/>
        <w:suppressAutoHyphens/>
        <w:autoSpaceDE w:val="0"/>
        <w:autoSpaceDN w:val="0"/>
        <w:adjustRightInd w:val="0"/>
        <w:spacing w:before="120" w:after="120"/>
        <w:jc w:val="both"/>
        <w:rPr>
          <w:snapToGrid/>
          <w:color w:val="000000"/>
          <w:sz w:val="22"/>
          <w:szCs w:val="22"/>
        </w:rPr>
      </w:pPr>
      <w:r w:rsidRPr="006E4404">
        <w:rPr>
          <w:snapToGrid/>
          <w:color w:val="000000"/>
          <w:sz w:val="22"/>
          <w:szCs w:val="22"/>
        </w:rPr>
        <w:t xml:space="preserve">Затратный подход: отражает величины, которые необходимы, чтобы компенсировать сегодняшнюю стоимость актива (т.е. то, что подразумевается под «текущей себестоимостью замещения»). </w:t>
      </w:r>
    </w:p>
    <w:p w:rsidR="00E419DD" w:rsidRPr="006E4404" w:rsidRDefault="00E419DD" w:rsidP="00E419DD">
      <w:pPr>
        <w:widowControl/>
        <w:suppressAutoHyphens/>
        <w:autoSpaceDE w:val="0"/>
        <w:autoSpaceDN w:val="0"/>
        <w:adjustRightInd w:val="0"/>
        <w:spacing w:before="120" w:after="120"/>
        <w:jc w:val="both"/>
        <w:rPr>
          <w:snapToGrid/>
          <w:color w:val="000000"/>
          <w:sz w:val="22"/>
          <w:szCs w:val="22"/>
        </w:rPr>
      </w:pPr>
      <w:r w:rsidRPr="006E4404">
        <w:rPr>
          <w:snapToGrid/>
          <w:color w:val="000000"/>
          <w:sz w:val="22"/>
          <w:szCs w:val="22"/>
        </w:rPr>
        <w:t xml:space="preserve">1.8.3.  Применение указанной выше концепции справедливой (рыночной) стоимости обязательно при оценке обесценения активов, при учете выручки,  финансовых инструментов, активов для  продажи, допускается при учете финансовой аренды, государственной помощи, нематериальных активов и  не применяется для оценки запасов, налоговых обязательств и активов. </w:t>
      </w:r>
    </w:p>
    <w:p w:rsidR="00E419DD" w:rsidRPr="006E4404" w:rsidRDefault="00E419DD" w:rsidP="00E419DD">
      <w:pPr>
        <w:widowControl/>
        <w:suppressAutoHyphens/>
        <w:autoSpaceDE w:val="0"/>
        <w:autoSpaceDN w:val="0"/>
        <w:adjustRightInd w:val="0"/>
        <w:spacing w:before="120" w:after="120"/>
        <w:jc w:val="both"/>
        <w:rPr>
          <w:snapToGrid/>
          <w:color w:val="000000"/>
          <w:sz w:val="22"/>
          <w:szCs w:val="22"/>
        </w:rPr>
      </w:pPr>
      <w:r w:rsidRPr="006E4404">
        <w:rPr>
          <w:snapToGrid/>
          <w:color w:val="000000"/>
          <w:sz w:val="22"/>
          <w:szCs w:val="22"/>
        </w:rPr>
        <w:t>1.9. Дисконтированная стоимость</w:t>
      </w:r>
    </w:p>
    <w:p w:rsidR="00E419DD" w:rsidRPr="006E4404" w:rsidRDefault="00E419DD" w:rsidP="00E419DD">
      <w:pPr>
        <w:suppressAutoHyphens/>
        <w:spacing w:after="120"/>
        <w:ind w:firstLine="14"/>
        <w:jc w:val="both"/>
        <w:rPr>
          <w:snapToGrid/>
          <w:color w:val="000000"/>
          <w:sz w:val="22"/>
          <w:szCs w:val="22"/>
        </w:rPr>
      </w:pPr>
      <w:r w:rsidRPr="006E4404">
        <w:rPr>
          <w:snapToGrid/>
          <w:color w:val="000000"/>
          <w:sz w:val="22"/>
          <w:szCs w:val="22"/>
        </w:rPr>
        <w:t xml:space="preserve">В целях формирования достоверного представления о финансовом положении Общества долгосрочная дебиторская задолженность, полученные долгосрочные  беспроцентные векселя (а также  выданные беспроцентные займы и векселя без дисконта), эмитентом которых являются не связанные компании, должны быть показаны в отчетности по дисконтированной стоимости. </w:t>
      </w:r>
    </w:p>
    <w:p w:rsidR="00E419DD" w:rsidRPr="006E4404" w:rsidRDefault="00E419DD">
      <w:pPr>
        <w:widowControl/>
        <w:spacing w:after="200" w:line="276" w:lineRule="auto"/>
        <w:rPr>
          <w:sz w:val="22"/>
          <w:szCs w:val="22"/>
        </w:rPr>
      </w:pPr>
      <w:r w:rsidRPr="006E4404">
        <w:rPr>
          <w:sz w:val="22"/>
          <w:szCs w:val="22"/>
        </w:rPr>
        <w:br w:type="page"/>
      </w:r>
    </w:p>
    <w:p w:rsidR="006E4404" w:rsidRPr="006E4404" w:rsidRDefault="006E4404" w:rsidP="006E4404">
      <w:pPr>
        <w:widowControl/>
        <w:spacing w:after="120"/>
        <w:jc w:val="both"/>
        <w:rPr>
          <w:b/>
          <w:snapToGrid/>
          <w:sz w:val="22"/>
          <w:szCs w:val="22"/>
        </w:rPr>
      </w:pPr>
      <w:r w:rsidRPr="006E4404">
        <w:rPr>
          <w:b/>
          <w:snapToGrid/>
          <w:sz w:val="22"/>
          <w:szCs w:val="22"/>
        </w:rPr>
        <w:t>Основные положения учетной политики Эмитента на 2015 год</w:t>
      </w:r>
    </w:p>
    <w:p w:rsidR="006E4404" w:rsidRPr="006E4404" w:rsidRDefault="006E4404" w:rsidP="006E4404">
      <w:pPr>
        <w:widowControl/>
        <w:spacing w:after="120"/>
        <w:jc w:val="both"/>
        <w:rPr>
          <w:b/>
          <w:snapToGrid/>
          <w:sz w:val="22"/>
          <w:szCs w:val="22"/>
        </w:rPr>
      </w:pPr>
    </w:p>
    <w:p w:rsidR="006E4404" w:rsidRPr="006E4404" w:rsidRDefault="006E4404" w:rsidP="006E4404">
      <w:pPr>
        <w:pStyle w:val="2"/>
        <w:keepLines w:val="0"/>
        <w:numPr>
          <w:ilvl w:val="1"/>
          <w:numId w:val="16"/>
        </w:numPr>
        <w:tabs>
          <w:tab w:val="left" w:pos="993"/>
          <w:tab w:val="left" w:pos="1134"/>
        </w:tabs>
        <w:spacing w:before="60" w:after="60"/>
        <w:ind w:right="341"/>
        <w:jc w:val="both"/>
        <w:rPr>
          <w:rFonts w:ascii="Times New Roman" w:eastAsia="Times New Roman" w:hAnsi="Times New Roman" w:cs="Times New Roman"/>
          <w:iCs/>
          <w:sz w:val="22"/>
          <w:szCs w:val="22"/>
          <w:lang w:eastAsia="ru-RU"/>
        </w:rPr>
      </w:pPr>
      <w:bookmarkStart w:id="1" w:name="_Toc435434803"/>
      <w:r w:rsidRPr="006E4404">
        <w:rPr>
          <w:rFonts w:ascii="Times New Roman" w:eastAsia="Times New Roman" w:hAnsi="Times New Roman" w:cs="Times New Roman"/>
          <w:iCs/>
          <w:sz w:val="22"/>
          <w:szCs w:val="22"/>
          <w:lang w:val="ru-RU" w:eastAsia="ru-RU"/>
        </w:rPr>
        <w:t>Цель документа</w:t>
      </w:r>
      <w:bookmarkEnd w:id="1"/>
    </w:p>
    <w:p w:rsidR="006E4404" w:rsidRPr="006E4404" w:rsidRDefault="006E4404" w:rsidP="006E4404">
      <w:pPr>
        <w:pStyle w:val="a5"/>
        <w:spacing w:after="120"/>
        <w:rPr>
          <w:sz w:val="22"/>
          <w:szCs w:val="22"/>
        </w:rPr>
      </w:pPr>
      <w:bookmarkStart w:id="2" w:name="цель"/>
      <w:bookmarkStart w:id="3" w:name="_Hlt529159612"/>
      <w:bookmarkEnd w:id="2"/>
      <w:bookmarkEnd w:id="3"/>
      <w:r w:rsidRPr="006E4404">
        <w:rPr>
          <w:sz w:val="22"/>
          <w:szCs w:val="22"/>
        </w:rPr>
        <w:t>Учетная политика призвана установить единообразие и непротиворечивость применяемых принципов, подходов и методов при организации и ведении бухгалтерского учета, формировании финансовой отчетности Общества.</w:t>
      </w:r>
    </w:p>
    <w:p w:rsidR="006E4404" w:rsidRPr="006E4404" w:rsidRDefault="006E4404" w:rsidP="006E4404">
      <w:pPr>
        <w:pStyle w:val="22"/>
        <w:spacing w:before="60" w:after="60"/>
        <w:rPr>
          <w:sz w:val="22"/>
          <w:szCs w:val="22"/>
        </w:rPr>
      </w:pPr>
    </w:p>
    <w:p w:rsidR="006E4404" w:rsidRPr="006E4404" w:rsidRDefault="006E4404" w:rsidP="006E4404">
      <w:pPr>
        <w:pStyle w:val="2"/>
        <w:keepLines w:val="0"/>
        <w:numPr>
          <w:ilvl w:val="1"/>
          <w:numId w:val="16"/>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4" w:name="_Toc435434804"/>
      <w:r w:rsidRPr="006E4404">
        <w:rPr>
          <w:rFonts w:ascii="Times New Roman" w:eastAsia="Times New Roman" w:hAnsi="Times New Roman" w:cs="Times New Roman"/>
          <w:iCs/>
          <w:sz w:val="22"/>
          <w:szCs w:val="22"/>
          <w:lang w:val="ru-RU" w:eastAsia="ru-RU"/>
        </w:rPr>
        <w:t>Основные подходы к разработке документа</w:t>
      </w:r>
      <w:bookmarkEnd w:id="4"/>
    </w:p>
    <w:p w:rsidR="006E4404" w:rsidRPr="006E4404" w:rsidRDefault="006E4404" w:rsidP="006E4404">
      <w:pPr>
        <w:pStyle w:val="a5"/>
        <w:spacing w:after="120"/>
        <w:rPr>
          <w:sz w:val="22"/>
          <w:szCs w:val="22"/>
        </w:rPr>
      </w:pPr>
      <w:r w:rsidRPr="006E4404">
        <w:rPr>
          <w:sz w:val="22"/>
          <w:szCs w:val="22"/>
        </w:rPr>
        <w:t>Учетная политика разработана на основе законодательства о бухгалтерском  учете РФ, стандартов бухгалтерского учета, введенных в действие на территории РФ Постановлением Правительства РФ от 25 февраля 2011 г. №107, утвердившим «</w:t>
      </w:r>
      <w:hyperlink r:id="rId12" w:history="1">
        <w:r w:rsidRPr="006E4404">
          <w:rPr>
            <w:sz w:val="22"/>
            <w:szCs w:val="22"/>
          </w:rPr>
          <w:t>Положение</w:t>
        </w:r>
      </w:hyperlink>
      <w:r w:rsidRPr="006E4404">
        <w:rPr>
          <w:sz w:val="22"/>
          <w:szCs w:val="22"/>
        </w:rPr>
        <w:t xml:space="preserve">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w:t>
      </w:r>
    </w:p>
    <w:p w:rsidR="006E4404" w:rsidRPr="006E4404" w:rsidRDefault="006E4404" w:rsidP="006E4404">
      <w:pPr>
        <w:pStyle w:val="a5"/>
        <w:spacing w:after="120"/>
        <w:rPr>
          <w:sz w:val="22"/>
          <w:szCs w:val="22"/>
        </w:rPr>
      </w:pPr>
    </w:p>
    <w:p w:rsidR="006E4404" w:rsidRPr="006E4404" w:rsidRDefault="006E4404" w:rsidP="006E4404">
      <w:pPr>
        <w:pStyle w:val="2"/>
        <w:keepLines w:val="0"/>
        <w:numPr>
          <w:ilvl w:val="1"/>
          <w:numId w:val="16"/>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5" w:name="_Toc435434805"/>
      <w:r w:rsidRPr="006E4404">
        <w:rPr>
          <w:rFonts w:ascii="Times New Roman" w:eastAsia="Times New Roman" w:hAnsi="Times New Roman" w:cs="Times New Roman"/>
          <w:iCs/>
          <w:sz w:val="22"/>
          <w:szCs w:val="22"/>
          <w:lang w:val="ru-RU" w:eastAsia="ru-RU"/>
        </w:rPr>
        <w:t>Область действия</w:t>
      </w:r>
      <w:bookmarkEnd w:id="5"/>
      <w:r w:rsidRPr="006E4404">
        <w:rPr>
          <w:rFonts w:ascii="Times New Roman" w:eastAsia="Times New Roman" w:hAnsi="Times New Roman" w:cs="Times New Roman"/>
          <w:iCs/>
          <w:sz w:val="22"/>
          <w:szCs w:val="22"/>
          <w:lang w:val="ru-RU" w:eastAsia="ru-RU"/>
        </w:rPr>
        <w:t xml:space="preserve"> </w:t>
      </w:r>
    </w:p>
    <w:p w:rsidR="006E4404" w:rsidRPr="006E4404" w:rsidRDefault="006E4404" w:rsidP="006E4404">
      <w:pPr>
        <w:pStyle w:val="a5"/>
        <w:spacing w:after="120"/>
        <w:rPr>
          <w:sz w:val="22"/>
          <w:szCs w:val="22"/>
        </w:rPr>
      </w:pPr>
      <w:r w:rsidRPr="006E4404">
        <w:rPr>
          <w:sz w:val="22"/>
          <w:szCs w:val="22"/>
        </w:rPr>
        <w:t>Учетная политика обязательна для исполнения структурными подразделениями, филиалами и представительствами ПАО «МТС», задействованными в реализации процессов, регламентируемых данной Учетной политикой.</w:t>
      </w:r>
    </w:p>
    <w:p w:rsidR="006E4404" w:rsidRPr="006E4404" w:rsidRDefault="006E4404" w:rsidP="006E4404">
      <w:pPr>
        <w:pStyle w:val="a5"/>
        <w:spacing w:after="120"/>
        <w:rPr>
          <w:sz w:val="22"/>
          <w:szCs w:val="22"/>
        </w:rPr>
      </w:pPr>
      <w:r w:rsidRPr="006E4404">
        <w:rPr>
          <w:sz w:val="22"/>
          <w:szCs w:val="22"/>
        </w:rPr>
        <w:t>Учетная политика рекомендуется для применения и исполнения дочерними обществами, при этом внесение дополнений согласовывается с ПАО «МТС».</w:t>
      </w:r>
    </w:p>
    <w:p w:rsidR="006E4404" w:rsidRPr="006E4404" w:rsidRDefault="006E4404" w:rsidP="006E4404">
      <w:pPr>
        <w:pStyle w:val="a5"/>
        <w:spacing w:after="120"/>
        <w:rPr>
          <w:sz w:val="22"/>
          <w:szCs w:val="22"/>
        </w:rPr>
      </w:pPr>
    </w:p>
    <w:p w:rsidR="006E4404" w:rsidRPr="006E4404" w:rsidRDefault="006E4404" w:rsidP="006E4404">
      <w:pPr>
        <w:pStyle w:val="2"/>
        <w:keepLines w:val="0"/>
        <w:numPr>
          <w:ilvl w:val="1"/>
          <w:numId w:val="16"/>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6" w:name="обновление"/>
      <w:bookmarkStart w:id="7" w:name="_Toc435434806"/>
      <w:bookmarkEnd w:id="6"/>
      <w:r w:rsidRPr="006E4404">
        <w:rPr>
          <w:rFonts w:ascii="Times New Roman" w:eastAsia="Times New Roman" w:hAnsi="Times New Roman" w:cs="Times New Roman"/>
          <w:iCs/>
          <w:sz w:val="22"/>
          <w:szCs w:val="22"/>
          <w:lang w:val="ru-RU" w:eastAsia="ru-RU"/>
        </w:rPr>
        <w:t>Принципы подготовки и качественные характеристики финансовой отчетности</w:t>
      </w:r>
      <w:bookmarkEnd w:id="7"/>
    </w:p>
    <w:p w:rsidR="006E4404" w:rsidRPr="006E4404" w:rsidRDefault="006E4404" w:rsidP="006E4404">
      <w:pPr>
        <w:spacing w:before="120" w:after="240"/>
        <w:jc w:val="both"/>
        <w:rPr>
          <w:sz w:val="22"/>
          <w:szCs w:val="22"/>
        </w:rPr>
      </w:pPr>
      <w:r w:rsidRPr="006E4404">
        <w:rPr>
          <w:sz w:val="22"/>
          <w:szCs w:val="22"/>
        </w:rPr>
        <w:t>Учетная политика базируется на следующих принципах и допущениях:</w:t>
      </w:r>
    </w:p>
    <w:p w:rsidR="006E4404" w:rsidRPr="006E4404" w:rsidRDefault="006E4404" w:rsidP="006E4404">
      <w:pPr>
        <w:pStyle w:val="a3"/>
        <w:numPr>
          <w:ilvl w:val="0"/>
          <w:numId w:val="13"/>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допущение о непрерывности деятельности (</w:t>
      </w:r>
      <w:r w:rsidRPr="006E4404">
        <w:rPr>
          <w:rFonts w:ascii="Times New Roman" w:eastAsia="Times New Roman" w:hAnsi="Times New Roman"/>
          <w:lang w:val="en-US"/>
        </w:rPr>
        <w:t>going</w:t>
      </w:r>
      <w:r w:rsidRPr="006E4404">
        <w:rPr>
          <w:rFonts w:ascii="Times New Roman" w:eastAsia="Times New Roman" w:hAnsi="Times New Roman"/>
        </w:rPr>
        <w:t xml:space="preserve"> </w:t>
      </w:r>
      <w:r w:rsidRPr="006E4404">
        <w:rPr>
          <w:rFonts w:ascii="Times New Roman" w:eastAsia="Times New Roman" w:hAnsi="Times New Roman"/>
          <w:lang w:val="en-US"/>
        </w:rPr>
        <w:t>concern</w:t>
      </w:r>
      <w:r w:rsidRPr="006E4404">
        <w:rPr>
          <w:rFonts w:ascii="Times New Roman" w:eastAsia="Times New Roman" w:hAnsi="Times New Roman"/>
        </w:rPr>
        <w:t>), подразумевающее, что Общество действует и будет продолжать действовать в обозримом будущем, а также что у Общества нет ни намерения, ни необходимости в ликвидации или в существенном сокращении масштабов деятельности;</w:t>
      </w:r>
    </w:p>
    <w:p w:rsidR="006E4404" w:rsidRPr="006E4404" w:rsidRDefault="006E4404" w:rsidP="006E4404">
      <w:pPr>
        <w:pStyle w:val="a3"/>
        <w:numPr>
          <w:ilvl w:val="0"/>
          <w:numId w:val="13"/>
        </w:numPr>
        <w:spacing w:before="120" w:after="240"/>
        <w:contextualSpacing w:val="0"/>
        <w:jc w:val="both"/>
        <w:rPr>
          <w:rFonts w:ascii="Times New Roman" w:eastAsia="Times New Roman" w:hAnsi="Times New Roman"/>
        </w:rPr>
      </w:pPr>
      <w:r w:rsidRPr="006E4404">
        <w:rPr>
          <w:rFonts w:ascii="Times New Roman" w:eastAsia="Times New Roman" w:hAnsi="Times New Roman"/>
        </w:rPr>
        <w:t>принцип начисления (</w:t>
      </w:r>
      <w:r w:rsidRPr="006E4404">
        <w:rPr>
          <w:rFonts w:ascii="Times New Roman" w:eastAsia="Times New Roman" w:hAnsi="Times New Roman"/>
          <w:lang w:val="en-US"/>
        </w:rPr>
        <w:t>accrual</w:t>
      </w:r>
      <w:r w:rsidRPr="006E4404">
        <w:rPr>
          <w:rFonts w:ascii="Times New Roman" w:eastAsia="Times New Roman" w:hAnsi="Times New Roman"/>
        </w:rPr>
        <w:t xml:space="preserve"> </w:t>
      </w:r>
      <w:r w:rsidRPr="006E4404">
        <w:rPr>
          <w:rFonts w:ascii="Times New Roman" w:eastAsia="Times New Roman" w:hAnsi="Times New Roman"/>
          <w:lang w:val="en-US"/>
        </w:rPr>
        <w:t>basis</w:t>
      </w:r>
      <w:r w:rsidRPr="006E4404">
        <w:rPr>
          <w:rFonts w:ascii="Times New Roman" w:eastAsia="Times New Roman" w:hAnsi="Times New Roman"/>
        </w:rPr>
        <w:t>), согласно которому результаты операций и прочих событий хозяйственной деятельности признаются в учете по факту их осуществления (а не при получении или выплате денежных средств и их эквивалентов) и отражаются в финансовой отчетности тех отчетных периодов, к которым они относятся;</w:t>
      </w:r>
    </w:p>
    <w:p w:rsidR="006E4404" w:rsidRPr="006E4404" w:rsidRDefault="006E4404" w:rsidP="006E4404">
      <w:pPr>
        <w:autoSpaceDE w:val="0"/>
        <w:autoSpaceDN w:val="0"/>
        <w:adjustRightInd w:val="0"/>
        <w:spacing w:before="120" w:after="240"/>
        <w:jc w:val="both"/>
        <w:rPr>
          <w:kern w:val="16"/>
          <w:sz w:val="22"/>
          <w:szCs w:val="22"/>
        </w:rPr>
      </w:pPr>
      <w:r w:rsidRPr="006E4404">
        <w:rPr>
          <w:sz w:val="22"/>
          <w:szCs w:val="22"/>
        </w:rPr>
        <w:t xml:space="preserve">Учетная политика </w:t>
      </w:r>
      <w:r w:rsidRPr="006E4404">
        <w:rPr>
          <w:kern w:val="16"/>
          <w:sz w:val="22"/>
          <w:szCs w:val="22"/>
        </w:rPr>
        <w:t>призвана обеспечить выполнение следующих требований (качественных характеристик), предъявляемых к информации, представляемой в финансовой отчетности:</w:t>
      </w:r>
    </w:p>
    <w:p w:rsidR="006E4404" w:rsidRPr="006E4404" w:rsidRDefault="006E4404" w:rsidP="006E4404">
      <w:pPr>
        <w:pStyle w:val="a3"/>
        <w:numPr>
          <w:ilvl w:val="0"/>
          <w:numId w:val="14"/>
        </w:numPr>
        <w:spacing w:before="120" w:after="240"/>
        <w:contextualSpacing w:val="0"/>
        <w:jc w:val="both"/>
        <w:rPr>
          <w:rFonts w:ascii="Times New Roman" w:eastAsia="Times New Roman" w:hAnsi="Times New Roman"/>
        </w:rPr>
      </w:pPr>
      <w:r w:rsidRPr="006E4404">
        <w:rPr>
          <w:rFonts w:ascii="Times New Roman" w:eastAsia="Times New Roman" w:hAnsi="Times New Roman"/>
        </w:rPr>
        <w:t>фундаментальных качественных характеристик, к которым относятся: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уместность (</w:t>
      </w:r>
      <w:r w:rsidRPr="006E4404">
        <w:rPr>
          <w:rFonts w:ascii="Times New Roman" w:eastAsia="Times New Roman" w:hAnsi="Times New Roman"/>
          <w:lang w:val="en-US"/>
        </w:rPr>
        <w:t>relevance</w:t>
      </w:r>
      <w:r w:rsidRPr="006E4404">
        <w:rPr>
          <w:rFonts w:ascii="Times New Roman" w:eastAsia="Times New Roman" w:hAnsi="Times New Roman"/>
        </w:rPr>
        <w:t>) – способность информации влиять на экономические решения пользователей, помогая им оценивать прошлые, настоящие и будущие события, подтверждать или исправлять их прошлые оценки. Уместность определяется характером информации и ее существенностью;</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достоверное представление (</w:t>
      </w:r>
      <w:r w:rsidRPr="006E4404">
        <w:rPr>
          <w:rFonts w:ascii="Times New Roman" w:eastAsia="Times New Roman" w:hAnsi="Times New Roman"/>
          <w:lang w:val="en-US"/>
        </w:rPr>
        <w:t>faithful</w:t>
      </w:r>
      <w:r w:rsidRPr="006E4404">
        <w:rPr>
          <w:rFonts w:ascii="Times New Roman" w:eastAsia="Times New Roman" w:hAnsi="Times New Roman"/>
        </w:rPr>
        <w:t xml:space="preserve"> </w:t>
      </w:r>
      <w:r w:rsidRPr="006E4404">
        <w:rPr>
          <w:rFonts w:ascii="Times New Roman" w:eastAsia="Times New Roman" w:hAnsi="Times New Roman"/>
          <w:lang w:val="en-US"/>
        </w:rPr>
        <w:t>representation</w:t>
      </w:r>
      <w:r w:rsidRPr="006E4404">
        <w:rPr>
          <w:rFonts w:ascii="Times New Roman" w:eastAsia="Times New Roman" w:hAnsi="Times New Roman"/>
        </w:rPr>
        <w:t>) – способность информации достоверно отражать операции и прочие события, которые, как подразумевается или обоснованно ожидается, она должна отражать. Информация соответствует требованию достоверного представления, если она является полной, нейтральной и не содержит существенных ошибок и искажений;</w:t>
      </w:r>
    </w:p>
    <w:p w:rsidR="006E4404" w:rsidRPr="006E4404" w:rsidRDefault="006E4404" w:rsidP="006E4404">
      <w:pPr>
        <w:pStyle w:val="a3"/>
        <w:numPr>
          <w:ilvl w:val="0"/>
          <w:numId w:val="14"/>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дополнительных качественных характеристик, к которым относятся: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сопоставимость (</w:t>
      </w:r>
      <w:r w:rsidRPr="006E4404">
        <w:rPr>
          <w:rFonts w:ascii="Times New Roman" w:eastAsia="Times New Roman" w:hAnsi="Times New Roman"/>
          <w:lang w:val="en-US"/>
        </w:rPr>
        <w:t>comparability</w:t>
      </w:r>
      <w:r w:rsidRPr="006E4404">
        <w:rPr>
          <w:rFonts w:ascii="Times New Roman" w:eastAsia="Times New Roman" w:hAnsi="Times New Roman"/>
        </w:rPr>
        <w:t>) информации, которая обеспечивается единством учетных принципов и последовательностью их применения;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верифицируемость (</w:t>
      </w:r>
      <w:r w:rsidRPr="006E4404">
        <w:rPr>
          <w:rFonts w:ascii="Times New Roman" w:eastAsia="Times New Roman" w:hAnsi="Times New Roman"/>
          <w:lang w:val="en-US"/>
        </w:rPr>
        <w:t>verifiability</w:t>
      </w:r>
      <w:r w:rsidRPr="006E4404">
        <w:rPr>
          <w:rFonts w:ascii="Times New Roman" w:eastAsia="Times New Roman" w:hAnsi="Times New Roman"/>
        </w:rPr>
        <w:t>), обозначающая, что информация отражает общую позицию, к которой бы пришли две хорошо осведомленные стороны в результате независимого рассмотрения вопроса. Верифицируемость не означает, что эти стороны должны прийти к идентичным выводам;</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своевременность (</w:t>
      </w:r>
      <w:r w:rsidRPr="006E4404">
        <w:rPr>
          <w:rFonts w:ascii="Times New Roman" w:eastAsia="Times New Roman" w:hAnsi="Times New Roman"/>
          <w:lang w:val="en-US"/>
        </w:rPr>
        <w:t>timeliness</w:t>
      </w:r>
      <w:r w:rsidRPr="006E4404">
        <w:rPr>
          <w:rFonts w:ascii="Times New Roman" w:eastAsia="Times New Roman" w:hAnsi="Times New Roman"/>
        </w:rPr>
        <w:t>), обозначающая что информация должна быть доступной для пользователей в течение того периода времени, когда она способна оказывать влияние на принятие ими экономических решений;</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понятность (</w:t>
      </w:r>
      <w:r w:rsidRPr="006E4404">
        <w:rPr>
          <w:rFonts w:ascii="Times New Roman" w:eastAsia="Times New Roman" w:hAnsi="Times New Roman"/>
          <w:lang w:val="en-US"/>
        </w:rPr>
        <w:t>understandability</w:t>
      </w:r>
      <w:r w:rsidRPr="006E4404">
        <w:rPr>
          <w:rFonts w:ascii="Times New Roman" w:eastAsia="Times New Roman" w:hAnsi="Times New Roman"/>
        </w:rPr>
        <w:t>), т.е. доступность информации для понимания пользователями, которые имеют достаточные знания в области экономической науки и бухгалтерского учета, а также обладают желанием изучать информацию с должным усердием.</w:t>
      </w:r>
    </w:p>
    <w:p w:rsidR="006E4404" w:rsidRPr="006E4404" w:rsidRDefault="006E4404">
      <w:pPr>
        <w:widowControl/>
        <w:spacing w:after="200" w:line="276" w:lineRule="auto"/>
        <w:rPr>
          <w:snapToGrid/>
          <w:sz w:val="22"/>
          <w:szCs w:val="22"/>
          <w:lang w:eastAsia="en-US"/>
        </w:rPr>
      </w:pPr>
      <w:r w:rsidRPr="006E4404">
        <w:rPr>
          <w:sz w:val="22"/>
          <w:szCs w:val="22"/>
        </w:rPr>
        <w:br w:type="page"/>
      </w:r>
    </w:p>
    <w:p w:rsidR="006E4404" w:rsidRPr="006E4404" w:rsidRDefault="006E4404" w:rsidP="006E4404">
      <w:pPr>
        <w:widowControl/>
        <w:spacing w:after="120"/>
        <w:jc w:val="both"/>
        <w:rPr>
          <w:b/>
          <w:snapToGrid/>
          <w:sz w:val="22"/>
          <w:szCs w:val="22"/>
        </w:rPr>
      </w:pPr>
      <w:r w:rsidRPr="006E4404">
        <w:rPr>
          <w:b/>
          <w:snapToGrid/>
          <w:sz w:val="22"/>
          <w:szCs w:val="22"/>
        </w:rPr>
        <w:t>Основные положения учетной политики Эмитента на 2016 год</w:t>
      </w:r>
    </w:p>
    <w:p w:rsidR="006E4404" w:rsidRPr="006E4404" w:rsidRDefault="006E4404" w:rsidP="006E4404">
      <w:pPr>
        <w:rPr>
          <w:sz w:val="22"/>
          <w:szCs w:val="22"/>
        </w:rPr>
      </w:pPr>
    </w:p>
    <w:p w:rsidR="006E4404" w:rsidRPr="006E4404" w:rsidRDefault="006E4404" w:rsidP="006E4404">
      <w:pPr>
        <w:pStyle w:val="2"/>
        <w:keepLines w:val="0"/>
        <w:numPr>
          <w:ilvl w:val="1"/>
          <w:numId w:val="17"/>
        </w:numPr>
        <w:tabs>
          <w:tab w:val="left" w:pos="993"/>
          <w:tab w:val="left" w:pos="1134"/>
        </w:tabs>
        <w:spacing w:before="60" w:after="60"/>
        <w:ind w:right="341"/>
        <w:jc w:val="both"/>
        <w:rPr>
          <w:rFonts w:ascii="Times New Roman" w:eastAsia="Times New Roman" w:hAnsi="Times New Roman" w:cs="Times New Roman"/>
          <w:iCs/>
          <w:sz w:val="22"/>
          <w:szCs w:val="22"/>
          <w:lang w:eastAsia="ru-RU"/>
        </w:rPr>
      </w:pPr>
      <w:bookmarkStart w:id="8" w:name="_Toc442089784"/>
      <w:r w:rsidRPr="006E4404">
        <w:rPr>
          <w:rFonts w:ascii="Times New Roman" w:eastAsia="Times New Roman" w:hAnsi="Times New Roman" w:cs="Times New Roman"/>
          <w:iCs/>
          <w:sz w:val="22"/>
          <w:szCs w:val="22"/>
          <w:lang w:val="ru-RU" w:eastAsia="ru-RU"/>
        </w:rPr>
        <w:t>Цель документа</w:t>
      </w:r>
      <w:bookmarkEnd w:id="8"/>
    </w:p>
    <w:p w:rsidR="006E4404" w:rsidRPr="006E4404" w:rsidRDefault="006E4404" w:rsidP="006E4404">
      <w:pPr>
        <w:pStyle w:val="a5"/>
        <w:spacing w:after="120"/>
        <w:rPr>
          <w:sz w:val="22"/>
          <w:szCs w:val="22"/>
        </w:rPr>
      </w:pPr>
      <w:r w:rsidRPr="006E4404">
        <w:rPr>
          <w:sz w:val="22"/>
          <w:szCs w:val="22"/>
        </w:rPr>
        <w:t>Учетная политика призвана установить единообразие и непротиворечивость применяемых принципов, подходов и методов при организации и ведении бухгалтерского учета, формировании финансовой отчетности Общества.</w:t>
      </w:r>
    </w:p>
    <w:p w:rsidR="006E4404" w:rsidRPr="006E4404" w:rsidRDefault="006E4404" w:rsidP="006E4404">
      <w:pPr>
        <w:pStyle w:val="22"/>
        <w:spacing w:before="60" w:after="60"/>
        <w:rPr>
          <w:sz w:val="22"/>
          <w:szCs w:val="22"/>
        </w:rPr>
      </w:pPr>
    </w:p>
    <w:p w:rsidR="006E4404" w:rsidRPr="006E4404" w:rsidRDefault="006E4404" w:rsidP="006E4404">
      <w:pPr>
        <w:pStyle w:val="2"/>
        <w:keepLines w:val="0"/>
        <w:numPr>
          <w:ilvl w:val="1"/>
          <w:numId w:val="17"/>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9" w:name="_Toc442089785"/>
      <w:r w:rsidRPr="006E4404">
        <w:rPr>
          <w:rFonts w:ascii="Times New Roman" w:eastAsia="Times New Roman" w:hAnsi="Times New Roman" w:cs="Times New Roman"/>
          <w:iCs/>
          <w:sz w:val="22"/>
          <w:szCs w:val="22"/>
          <w:lang w:val="ru-RU" w:eastAsia="ru-RU"/>
        </w:rPr>
        <w:t>Основные подходы к разработке документа</w:t>
      </w:r>
      <w:bookmarkEnd w:id="9"/>
    </w:p>
    <w:p w:rsidR="006E4404" w:rsidRPr="006E4404" w:rsidRDefault="006E4404" w:rsidP="006E4404">
      <w:pPr>
        <w:pStyle w:val="a5"/>
        <w:spacing w:after="120"/>
        <w:rPr>
          <w:sz w:val="22"/>
          <w:szCs w:val="22"/>
        </w:rPr>
      </w:pPr>
      <w:r w:rsidRPr="006E4404">
        <w:rPr>
          <w:sz w:val="22"/>
          <w:szCs w:val="22"/>
        </w:rPr>
        <w:t>Учетная политика разработана на основе законодательства о бухгалтерском  учете РФ, стандартов бухгалтерского учета, введенных в действие на территории РФ Постановлением Правительства РФ от 25 февраля 2011 г. №107, утвердившим «</w:t>
      </w:r>
      <w:hyperlink r:id="rId13" w:history="1">
        <w:r w:rsidRPr="006E4404">
          <w:rPr>
            <w:sz w:val="22"/>
            <w:szCs w:val="22"/>
          </w:rPr>
          <w:t>Положение</w:t>
        </w:r>
      </w:hyperlink>
      <w:r w:rsidRPr="006E4404">
        <w:rPr>
          <w:sz w:val="22"/>
          <w:szCs w:val="22"/>
        </w:rPr>
        <w:t xml:space="preserve">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w:t>
      </w:r>
    </w:p>
    <w:p w:rsidR="006E4404" w:rsidRPr="006E4404" w:rsidRDefault="006E4404" w:rsidP="006E4404">
      <w:pPr>
        <w:pStyle w:val="a5"/>
        <w:spacing w:after="120"/>
        <w:rPr>
          <w:sz w:val="22"/>
          <w:szCs w:val="22"/>
        </w:rPr>
      </w:pPr>
    </w:p>
    <w:p w:rsidR="006E4404" w:rsidRPr="006E4404" w:rsidRDefault="006E4404" w:rsidP="006E4404">
      <w:pPr>
        <w:pStyle w:val="2"/>
        <w:keepLines w:val="0"/>
        <w:numPr>
          <w:ilvl w:val="1"/>
          <w:numId w:val="17"/>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10" w:name="_Toc442089786"/>
      <w:r w:rsidRPr="006E4404">
        <w:rPr>
          <w:rFonts w:ascii="Times New Roman" w:eastAsia="Times New Roman" w:hAnsi="Times New Roman" w:cs="Times New Roman"/>
          <w:iCs/>
          <w:sz w:val="22"/>
          <w:szCs w:val="22"/>
          <w:lang w:val="ru-RU" w:eastAsia="ru-RU"/>
        </w:rPr>
        <w:t>Область действия</w:t>
      </w:r>
      <w:bookmarkEnd w:id="10"/>
      <w:r w:rsidRPr="006E4404">
        <w:rPr>
          <w:rFonts w:ascii="Times New Roman" w:eastAsia="Times New Roman" w:hAnsi="Times New Roman" w:cs="Times New Roman"/>
          <w:iCs/>
          <w:sz w:val="22"/>
          <w:szCs w:val="22"/>
          <w:lang w:val="ru-RU" w:eastAsia="ru-RU"/>
        </w:rPr>
        <w:t xml:space="preserve"> </w:t>
      </w:r>
    </w:p>
    <w:p w:rsidR="006E4404" w:rsidRPr="006E4404" w:rsidRDefault="006E4404" w:rsidP="006E4404">
      <w:pPr>
        <w:pStyle w:val="a5"/>
        <w:spacing w:after="120"/>
        <w:rPr>
          <w:sz w:val="22"/>
          <w:szCs w:val="22"/>
        </w:rPr>
      </w:pPr>
      <w:r w:rsidRPr="006E4404">
        <w:rPr>
          <w:sz w:val="22"/>
          <w:szCs w:val="22"/>
        </w:rPr>
        <w:t>Учетная политика обязательна для исполнения структурными подразделениями, филиалами и представительствами ПАО «МТС», задействованными в реализации процессов, регламентируемых данной Учетной политикой.</w:t>
      </w:r>
    </w:p>
    <w:p w:rsidR="006E4404" w:rsidRPr="006E4404" w:rsidRDefault="006E4404" w:rsidP="006E4404">
      <w:pPr>
        <w:pStyle w:val="a5"/>
        <w:spacing w:after="120"/>
        <w:rPr>
          <w:sz w:val="22"/>
          <w:szCs w:val="22"/>
        </w:rPr>
      </w:pPr>
      <w:r w:rsidRPr="006E4404">
        <w:rPr>
          <w:sz w:val="22"/>
          <w:szCs w:val="22"/>
        </w:rPr>
        <w:t>Учетная политика рекомендуется для применения и исполнения дочерними обществами, при этом внесение дополнений согласовывается с ПАО «МТС».</w:t>
      </w:r>
    </w:p>
    <w:p w:rsidR="006E4404" w:rsidRPr="006E4404" w:rsidRDefault="006E4404" w:rsidP="006E4404">
      <w:pPr>
        <w:pStyle w:val="a5"/>
        <w:spacing w:after="120"/>
        <w:rPr>
          <w:sz w:val="22"/>
          <w:szCs w:val="22"/>
        </w:rPr>
      </w:pPr>
    </w:p>
    <w:p w:rsidR="006E4404" w:rsidRPr="006E4404" w:rsidRDefault="006E4404" w:rsidP="006E4404">
      <w:pPr>
        <w:pStyle w:val="2"/>
        <w:keepLines w:val="0"/>
        <w:numPr>
          <w:ilvl w:val="1"/>
          <w:numId w:val="17"/>
        </w:numPr>
        <w:tabs>
          <w:tab w:val="left" w:pos="993"/>
          <w:tab w:val="left" w:pos="1134"/>
        </w:tabs>
        <w:spacing w:before="60" w:after="60"/>
        <w:ind w:right="341"/>
        <w:jc w:val="both"/>
        <w:rPr>
          <w:rFonts w:ascii="Times New Roman" w:eastAsia="Times New Roman" w:hAnsi="Times New Roman" w:cs="Times New Roman"/>
          <w:iCs/>
          <w:sz w:val="22"/>
          <w:szCs w:val="22"/>
          <w:lang w:val="ru-RU" w:eastAsia="ru-RU"/>
        </w:rPr>
      </w:pPr>
      <w:bookmarkStart w:id="11" w:name="_Toc442089787"/>
      <w:r w:rsidRPr="006E4404">
        <w:rPr>
          <w:rFonts w:ascii="Times New Roman" w:eastAsia="Times New Roman" w:hAnsi="Times New Roman" w:cs="Times New Roman"/>
          <w:iCs/>
          <w:sz w:val="22"/>
          <w:szCs w:val="22"/>
          <w:lang w:val="ru-RU" w:eastAsia="ru-RU"/>
        </w:rPr>
        <w:t>Принципы подготовки и качественные характеристики финансовой отчетности</w:t>
      </w:r>
      <w:bookmarkEnd w:id="11"/>
    </w:p>
    <w:p w:rsidR="006E4404" w:rsidRPr="006E4404" w:rsidRDefault="006E4404" w:rsidP="006E4404">
      <w:pPr>
        <w:spacing w:before="120" w:after="240"/>
        <w:jc w:val="both"/>
        <w:rPr>
          <w:sz w:val="22"/>
          <w:szCs w:val="22"/>
        </w:rPr>
      </w:pPr>
      <w:r w:rsidRPr="006E4404">
        <w:rPr>
          <w:sz w:val="22"/>
          <w:szCs w:val="22"/>
        </w:rPr>
        <w:t>Учетная политика базируется на следующих принципах и допущениях:</w:t>
      </w:r>
    </w:p>
    <w:p w:rsidR="006E4404" w:rsidRPr="006E4404" w:rsidRDefault="006E4404" w:rsidP="006E4404">
      <w:pPr>
        <w:pStyle w:val="a3"/>
        <w:numPr>
          <w:ilvl w:val="0"/>
          <w:numId w:val="13"/>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допущение о непрерывности деятельности (</w:t>
      </w:r>
      <w:r w:rsidRPr="006E4404">
        <w:rPr>
          <w:rFonts w:ascii="Times New Roman" w:eastAsia="Times New Roman" w:hAnsi="Times New Roman"/>
          <w:lang w:val="en-US"/>
        </w:rPr>
        <w:t>going</w:t>
      </w:r>
      <w:r w:rsidRPr="006E4404">
        <w:rPr>
          <w:rFonts w:ascii="Times New Roman" w:eastAsia="Times New Roman" w:hAnsi="Times New Roman"/>
        </w:rPr>
        <w:t xml:space="preserve"> </w:t>
      </w:r>
      <w:r w:rsidRPr="006E4404">
        <w:rPr>
          <w:rFonts w:ascii="Times New Roman" w:eastAsia="Times New Roman" w:hAnsi="Times New Roman"/>
          <w:lang w:val="en-US"/>
        </w:rPr>
        <w:t>concern</w:t>
      </w:r>
      <w:r w:rsidRPr="006E4404">
        <w:rPr>
          <w:rFonts w:ascii="Times New Roman" w:eastAsia="Times New Roman" w:hAnsi="Times New Roman"/>
        </w:rPr>
        <w:t>), подразумевающее, что Общество действует и будет продолжать действовать в обозримом будущем, а также что у Общества нет ни намерения, ни необходимости в ликвидации или в существенном сокращении масштабов деятельности;</w:t>
      </w:r>
    </w:p>
    <w:p w:rsidR="006E4404" w:rsidRPr="006E4404" w:rsidRDefault="006E4404" w:rsidP="006E4404">
      <w:pPr>
        <w:pStyle w:val="a3"/>
        <w:numPr>
          <w:ilvl w:val="0"/>
          <w:numId w:val="13"/>
        </w:numPr>
        <w:spacing w:before="120" w:after="240"/>
        <w:contextualSpacing w:val="0"/>
        <w:jc w:val="both"/>
        <w:rPr>
          <w:rFonts w:ascii="Times New Roman" w:eastAsia="Times New Roman" w:hAnsi="Times New Roman"/>
        </w:rPr>
      </w:pPr>
      <w:r w:rsidRPr="006E4404">
        <w:rPr>
          <w:rFonts w:ascii="Times New Roman" w:eastAsia="Times New Roman" w:hAnsi="Times New Roman"/>
        </w:rPr>
        <w:t>принцип начисления (</w:t>
      </w:r>
      <w:r w:rsidRPr="006E4404">
        <w:rPr>
          <w:rFonts w:ascii="Times New Roman" w:eastAsia="Times New Roman" w:hAnsi="Times New Roman"/>
          <w:lang w:val="en-US"/>
        </w:rPr>
        <w:t>accrual</w:t>
      </w:r>
      <w:r w:rsidRPr="006E4404">
        <w:rPr>
          <w:rFonts w:ascii="Times New Roman" w:eastAsia="Times New Roman" w:hAnsi="Times New Roman"/>
        </w:rPr>
        <w:t xml:space="preserve"> </w:t>
      </w:r>
      <w:r w:rsidRPr="006E4404">
        <w:rPr>
          <w:rFonts w:ascii="Times New Roman" w:eastAsia="Times New Roman" w:hAnsi="Times New Roman"/>
          <w:lang w:val="en-US"/>
        </w:rPr>
        <w:t>basis</w:t>
      </w:r>
      <w:r w:rsidRPr="006E4404">
        <w:rPr>
          <w:rFonts w:ascii="Times New Roman" w:eastAsia="Times New Roman" w:hAnsi="Times New Roman"/>
        </w:rPr>
        <w:t>), согласно которому результаты операций и прочих событий хозяйственной деятельности признаются в учете по факту их осуществления (а не при получении или выплате денежных средств и их эквивалентов) и отражаются в финансовой отчетности тех отчетных периодов, к которым они относятся;</w:t>
      </w:r>
    </w:p>
    <w:p w:rsidR="006E4404" w:rsidRPr="006E4404" w:rsidRDefault="006E4404" w:rsidP="006E4404">
      <w:pPr>
        <w:autoSpaceDE w:val="0"/>
        <w:autoSpaceDN w:val="0"/>
        <w:adjustRightInd w:val="0"/>
        <w:spacing w:before="120" w:after="240"/>
        <w:jc w:val="both"/>
        <w:rPr>
          <w:kern w:val="16"/>
          <w:sz w:val="22"/>
          <w:szCs w:val="22"/>
        </w:rPr>
      </w:pPr>
      <w:r w:rsidRPr="006E4404">
        <w:rPr>
          <w:sz w:val="22"/>
          <w:szCs w:val="22"/>
        </w:rPr>
        <w:t xml:space="preserve">Учетная политика </w:t>
      </w:r>
      <w:r w:rsidRPr="006E4404">
        <w:rPr>
          <w:kern w:val="16"/>
          <w:sz w:val="22"/>
          <w:szCs w:val="22"/>
        </w:rPr>
        <w:t>призвана обеспечить выполнение следующих требований (качественных характеристик), предъявляемых к информации, представляемой в финансовой отчетности:</w:t>
      </w:r>
    </w:p>
    <w:p w:rsidR="006E4404" w:rsidRPr="006E4404" w:rsidRDefault="006E4404" w:rsidP="006E4404">
      <w:pPr>
        <w:pStyle w:val="a3"/>
        <w:numPr>
          <w:ilvl w:val="0"/>
          <w:numId w:val="14"/>
        </w:numPr>
        <w:spacing w:before="120" w:after="240"/>
        <w:contextualSpacing w:val="0"/>
        <w:jc w:val="both"/>
        <w:rPr>
          <w:rFonts w:ascii="Times New Roman" w:eastAsia="Times New Roman" w:hAnsi="Times New Roman"/>
        </w:rPr>
      </w:pPr>
      <w:r w:rsidRPr="006E4404">
        <w:rPr>
          <w:rFonts w:ascii="Times New Roman" w:eastAsia="Times New Roman" w:hAnsi="Times New Roman"/>
        </w:rPr>
        <w:t>фундаментальных качественных характеристик, к которым относятся: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уместность (</w:t>
      </w:r>
      <w:r w:rsidRPr="006E4404">
        <w:rPr>
          <w:rFonts w:ascii="Times New Roman" w:eastAsia="Times New Roman" w:hAnsi="Times New Roman"/>
          <w:lang w:val="en-US"/>
        </w:rPr>
        <w:t>relevance</w:t>
      </w:r>
      <w:r w:rsidRPr="006E4404">
        <w:rPr>
          <w:rFonts w:ascii="Times New Roman" w:eastAsia="Times New Roman" w:hAnsi="Times New Roman"/>
        </w:rPr>
        <w:t>) – способность информации влиять на экономические решения пользователей, помогая им оценивать прошлые, настоящие и будущие события, подтверждать или исправлять их прошлые оценки. Уместность определяется характером информации и ее существенностью;</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достоверное представление (</w:t>
      </w:r>
      <w:r w:rsidRPr="006E4404">
        <w:rPr>
          <w:rFonts w:ascii="Times New Roman" w:eastAsia="Times New Roman" w:hAnsi="Times New Roman"/>
          <w:lang w:val="en-US"/>
        </w:rPr>
        <w:t>faithful</w:t>
      </w:r>
      <w:r w:rsidRPr="006E4404">
        <w:rPr>
          <w:rFonts w:ascii="Times New Roman" w:eastAsia="Times New Roman" w:hAnsi="Times New Roman"/>
        </w:rPr>
        <w:t xml:space="preserve"> </w:t>
      </w:r>
      <w:r w:rsidRPr="006E4404">
        <w:rPr>
          <w:rFonts w:ascii="Times New Roman" w:eastAsia="Times New Roman" w:hAnsi="Times New Roman"/>
          <w:lang w:val="en-US"/>
        </w:rPr>
        <w:t>representation</w:t>
      </w:r>
      <w:r w:rsidRPr="006E4404">
        <w:rPr>
          <w:rFonts w:ascii="Times New Roman" w:eastAsia="Times New Roman" w:hAnsi="Times New Roman"/>
        </w:rPr>
        <w:t>) – способность информации достоверно отражать операции и прочие события, которые, как подразумевается или обоснованно ожидается, она должна отражать. Информация соответствует требованию достоверного представления, если она является полной, нейтральной и не содержит существенных ошибок и искажений;</w:t>
      </w:r>
    </w:p>
    <w:p w:rsidR="006E4404" w:rsidRPr="006E4404" w:rsidRDefault="006E4404" w:rsidP="006E4404">
      <w:pPr>
        <w:pStyle w:val="a3"/>
        <w:numPr>
          <w:ilvl w:val="0"/>
          <w:numId w:val="14"/>
        </w:numPr>
        <w:spacing w:before="120" w:after="240"/>
        <w:contextualSpacing w:val="0"/>
        <w:jc w:val="both"/>
        <w:rPr>
          <w:rFonts w:ascii="Times New Roman" w:eastAsia="Times New Roman" w:hAnsi="Times New Roman"/>
        </w:rPr>
      </w:pPr>
      <w:r w:rsidRPr="006E4404">
        <w:rPr>
          <w:rFonts w:ascii="Times New Roman" w:eastAsia="Times New Roman" w:hAnsi="Times New Roman"/>
        </w:rPr>
        <w:t>дополнительных качественных характеристик, к которым относятся: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сопоставимость (</w:t>
      </w:r>
      <w:r w:rsidRPr="006E4404">
        <w:rPr>
          <w:rFonts w:ascii="Times New Roman" w:eastAsia="Times New Roman" w:hAnsi="Times New Roman"/>
          <w:lang w:val="en-US"/>
        </w:rPr>
        <w:t>comparability</w:t>
      </w:r>
      <w:r w:rsidRPr="006E4404">
        <w:rPr>
          <w:rFonts w:ascii="Times New Roman" w:eastAsia="Times New Roman" w:hAnsi="Times New Roman"/>
        </w:rPr>
        <w:t>) информации, которая обеспечивается единством учетных принципов и последовательностью их применения;</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верифицируемость (</w:t>
      </w:r>
      <w:r w:rsidRPr="006E4404">
        <w:rPr>
          <w:rFonts w:ascii="Times New Roman" w:eastAsia="Times New Roman" w:hAnsi="Times New Roman"/>
          <w:lang w:val="en-US"/>
        </w:rPr>
        <w:t>verifiability</w:t>
      </w:r>
      <w:r w:rsidRPr="006E4404">
        <w:rPr>
          <w:rFonts w:ascii="Times New Roman" w:eastAsia="Times New Roman" w:hAnsi="Times New Roman"/>
        </w:rPr>
        <w:t>), обозначающая, что информация отражает общую позицию, к которой бы пришли две хорошо осведомленные стороны в результате независимого рассмотрения вопроса. Верифицируемость не означает, что эти стороны должны прийти к идентичным выводам;</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своевременность (</w:t>
      </w:r>
      <w:r w:rsidRPr="006E4404">
        <w:rPr>
          <w:rFonts w:ascii="Times New Roman" w:eastAsia="Times New Roman" w:hAnsi="Times New Roman"/>
          <w:lang w:val="en-US"/>
        </w:rPr>
        <w:t>timeliness</w:t>
      </w:r>
      <w:r w:rsidRPr="006E4404">
        <w:rPr>
          <w:rFonts w:ascii="Times New Roman" w:eastAsia="Times New Roman" w:hAnsi="Times New Roman"/>
        </w:rPr>
        <w:t>), обозначающая что информация должна быть доступной для пользователей в течение того периода времени, когда она способна оказывать влияние на принятие ими экономических решений;</w:t>
      </w:r>
    </w:p>
    <w:p w:rsidR="006E4404" w:rsidRPr="006E4404" w:rsidRDefault="006E4404" w:rsidP="006E4404">
      <w:pPr>
        <w:pStyle w:val="a3"/>
        <w:numPr>
          <w:ilvl w:val="1"/>
          <w:numId w:val="15"/>
        </w:numPr>
        <w:spacing w:before="120" w:after="240"/>
        <w:contextualSpacing w:val="0"/>
        <w:jc w:val="both"/>
        <w:rPr>
          <w:rFonts w:ascii="Times New Roman" w:eastAsia="Times New Roman" w:hAnsi="Times New Roman"/>
        </w:rPr>
      </w:pPr>
      <w:r w:rsidRPr="006E4404">
        <w:rPr>
          <w:rFonts w:ascii="Times New Roman" w:eastAsia="Times New Roman" w:hAnsi="Times New Roman"/>
        </w:rPr>
        <w:t>понятность (</w:t>
      </w:r>
      <w:r w:rsidRPr="006E4404">
        <w:rPr>
          <w:rFonts w:ascii="Times New Roman" w:eastAsia="Times New Roman" w:hAnsi="Times New Roman"/>
          <w:lang w:val="en-US"/>
        </w:rPr>
        <w:t>understandability</w:t>
      </w:r>
      <w:r w:rsidRPr="006E4404">
        <w:rPr>
          <w:rFonts w:ascii="Times New Roman" w:eastAsia="Times New Roman" w:hAnsi="Times New Roman"/>
        </w:rPr>
        <w:t>), т.е. доступность информации для понимания пользователями, которые имеют достаточные знания в области экономической науки и бухгалтерского учета, а также обладают желанием изучать информацию с должным усердием.</w:t>
      </w:r>
    </w:p>
    <w:p w:rsidR="006E4404" w:rsidRPr="006E4404" w:rsidRDefault="006E4404" w:rsidP="006E4404">
      <w:pPr>
        <w:widowControl/>
        <w:spacing w:after="120"/>
        <w:jc w:val="both"/>
        <w:rPr>
          <w:sz w:val="22"/>
          <w:szCs w:val="22"/>
        </w:rPr>
      </w:pPr>
    </w:p>
    <w:p w:rsidR="006E6D4F" w:rsidRPr="006E4404" w:rsidRDefault="00A74FEC" w:rsidP="006E4404">
      <w:pPr>
        <w:spacing w:before="120" w:after="240"/>
        <w:jc w:val="both"/>
        <w:rPr>
          <w:sz w:val="22"/>
          <w:szCs w:val="22"/>
        </w:rPr>
      </w:pPr>
    </w:p>
    <w:sectPr w:rsidR="006E6D4F" w:rsidRPr="006E4404" w:rsidSect="00A74FEC">
      <w:footerReference w:type="default" r:id="rId14"/>
      <w:pgSz w:w="11909" w:h="16834" w:code="9"/>
      <w:pgMar w:top="1249" w:right="357" w:bottom="1248" w:left="1440" w:header="720" w:footer="720" w:gutter="0"/>
      <w:pgNumType w:start="557"/>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F6" w:rsidRDefault="00FA6FF6" w:rsidP="00FA6FF6">
      <w:r>
        <w:separator/>
      </w:r>
    </w:p>
  </w:endnote>
  <w:endnote w:type="continuationSeparator" w:id="0">
    <w:p w:rsidR="00FA6FF6" w:rsidRDefault="00FA6FF6" w:rsidP="00FA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118167"/>
      <w:docPartObj>
        <w:docPartGallery w:val="Page Numbers (Bottom of Page)"/>
        <w:docPartUnique/>
      </w:docPartObj>
    </w:sdtPr>
    <w:sdtEndPr/>
    <w:sdtContent>
      <w:p w:rsidR="00FA6FF6" w:rsidRDefault="00FA6FF6">
        <w:pPr>
          <w:pStyle w:val="a8"/>
          <w:jc w:val="right"/>
        </w:pPr>
        <w:r>
          <w:fldChar w:fldCharType="begin"/>
        </w:r>
        <w:r>
          <w:instrText>PAGE   \* MERGEFORMAT</w:instrText>
        </w:r>
        <w:r>
          <w:fldChar w:fldCharType="separate"/>
        </w:r>
        <w:r w:rsidR="00A74FEC">
          <w:rPr>
            <w:noProof/>
          </w:rPr>
          <w:t>557</w:t>
        </w:r>
        <w:r>
          <w:fldChar w:fldCharType="end"/>
        </w:r>
      </w:p>
    </w:sdtContent>
  </w:sdt>
  <w:p w:rsidR="00FA6FF6" w:rsidRDefault="00FA6FF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F6" w:rsidRDefault="00FA6FF6" w:rsidP="00FA6FF6">
      <w:r>
        <w:separator/>
      </w:r>
    </w:p>
  </w:footnote>
  <w:footnote w:type="continuationSeparator" w:id="0">
    <w:p w:rsidR="00FA6FF6" w:rsidRDefault="00FA6FF6" w:rsidP="00FA6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A5806"/>
    <w:multiLevelType w:val="multilevel"/>
    <w:tmpl w:val="6EB44ED0"/>
    <w:lvl w:ilvl="0">
      <w:start w:val="1"/>
      <w:numFmt w:val="decimal"/>
      <w:lvlText w:val="%1."/>
      <w:lvlJc w:val="left"/>
      <w:pPr>
        <w:ind w:left="674"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3136558"/>
    <w:multiLevelType w:val="multilevel"/>
    <w:tmpl w:val="6EB44ED0"/>
    <w:lvl w:ilvl="0">
      <w:start w:val="1"/>
      <w:numFmt w:val="decimal"/>
      <w:lvlText w:val="%1."/>
      <w:lvlJc w:val="left"/>
      <w:pPr>
        <w:ind w:left="674"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1D696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B1C26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249E7342"/>
    <w:multiLevelType w:val="multilevel"/>
    <w:tmpl w:val="EB9A25D8"/>
    <w:lvl w:ilvl="0">
      <w:start w:val="1"/>
      <w:numFmt w:val="bullet"/>
      <w:lvlText w:val=""/>
      <w:lvlJc w:val="left"/>
      <w:pPr>
        <w:ind w:left="360" w:hanging="360"/>
      </w:pPr>
      <w:rPr>
        <w:rFonts w:ascii="Symbol" w:hAnsi="Symbol"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360" w:hanging="720"/>
      </w:pPr>
      <w:rPr>
        <w:rFonts w:hint="default"/>
        <w:i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nsid w:val="2926594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2A803D0E"/>
    <w:multiLevelType w:val="hybridMultilevel"/>
    <w:tmpl w:val="0F0C7D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FF25582"/>
    <w:multiLevelType w:val="multilevel"/>
    <w:tmpl w:val="4D7AB68C"/>
    <w:lvl w:ilvl="0">
      <w:start w:val="1"/>
      <w:numFmt w:val="bullet"/>
      <w:lvlText w:val=""/>
      <w:lvlJc w:val="left"/>
      <w:pPr>
        <w:ind w:left="360" w:hanging="360"/>
      </w:pPr>
      <w:rPr>
        <w:rFonts w:ascii="Symbol" w:hAnsi="Symbol"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360" w:hanging="720"/>
      </w:pPr>
      <w:rPr>
        <w:rFonts w:hint="default"/>
        <w:i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8">
    <w:nsid w:val="45742DC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511D162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522E6AD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55EE4B79"/>
    <w:multiLevelType w:val="hybridMultilevel"/>
    <w:tmpl w:val="5E9E5AFA"/>
    <w:lvl w:ilvl="0" w:tplc="04190001">
      <w:start w:val="1"/>
      <w:numFmt w:val="bullet"/>
      <w:lvlText w:val=""/>
      <w:lvlJc w:val="left"/>
      <w:pPr>
        <w:tabs>
          <w:tab w:val="num" w:pos="981"/>
        </w:tabs>
        <w:ind w:left="981" w:hanging="360"/>
      </w:pPr>
      <w:rPr>
        <w:rFonts w:ascii="Symbol" w:hAnsi="Symbol" w:hint="default"/>
      </w:rPr>
    </w:lvl>
    <w:lvl w:ilvl="1" w:tplc="04190003" w:tentative="1">
      <w:start w:val="1"/>
      <w:numFmt w:val="bullet"/>
      <w:lvlText w:val="o"/>
      <w:lvlJc w:val="left"/>
      <w:pPr>
        <w:tabs>
          <w:tab w:val="num" w:pos="1701"/>
        </w:tabs>
        <w:ind w:left="1701" w:hanging="360"/>
      </w:pPr>
      <w:rPr>
        <w:rFonts w:ascii="Courier New" w:hAnsi="Courier New" w:hint="default"/>
      </w:rPr>
    </w:lvl>
    <w:lvl w:ilvl="2" w:tplc="04190005" w:tentative="1">
      <w:start w:val="1"/>
      <w:numFmt w:val="bullet"/>
      <w:lvlText w:val=""/>
      <w:lvlJc w:val="left"/>
      <w:pPr>
        <w:tabs>
          <w:tab w:val="num" w:pos="2421"/>
        </w:tabs>
        <w:ind w:left="2421" w:hanging="360"/>
      </w:pPr>
      <w:rPr>
        <w:rFonts w:ascii="Wingdings" w:hAnsi="Wingdings" w:hint="default"/>
      </w:rPr>
    </w:lvl>
    <w:lvl w:ilvl="3" w:tplc="04190001" w:tentative="1">
      <w:start w:val="1"/>
      <w:numFmt w:val="bullet"/>
      <w:lvlText w:val=""/>
      <w:lvlJc w:val="left"/>
      <w:pPr>
        <w:tabs>
          <w:tab w:val="num" w:pos="3141"/>
        </w:tabs>
        <w:ind w:left="3141" w:hanging="360"/>
      </w:pPr>
      <w:rPr>
        <w:rFonts w:ascii="Symbol" w:hAnsi="Symbol" w:hint="default"/>
      </w:rPr>
    </w:lvl>
    <w:lvl w:ilvl="4" w:tplc="04190003" w:tentative="1">
      <w:start w:val="1"/>
      <w:numFmt w:val="bullet"/>
      <w:lvlText w:val="o"/>
      <w:lvlJc w:val="left"/>
      <w:pPr>
        <w:tabs>
          <w:tab w:val="num" w:pos="3861"/>
        </w:tabs>
        <w:ind w:left="3861" w:hanging="360"/>
      </w:pPr>
      <w:rPr>
        <w:rFonts w:ascii="Courier New" w:hAnsi="Courier New" w:hint="default"/>
      </w:rPr>
    </w:lvl>
    <w:lvl w:ilvl="5" w:tplc="04190005" w:tentative="1">
      <w:start w:val="1"/>
      <w:numFmt w:val="bullet"/>
      <w:lvlText w:val=""/>
      <w:lvlJc w:val="left"/>
      <w:pPr>
        <w:tabs>
          <w:tab w:val="num" w:pos="4581"/>
        </w:tabs>
        <w:ind w:left="4581" w:hanging="360"/>
      </w:pPr>
      <w:rPr>
        <w:rFonts w:ascii="Wingdings" w:hAnsi="Wingdings" w:hint="default"/>
      </w:rPr>
    </w:lvl>
    <w:lvl w:ilvl="6" w:tplc="04190001" w:tentative="1">
      <w:start w:val="1"/>
      <w:numFmt w:val="bullet"/>
      <w:lvlText w:val=""/>
      <w:lvlJc w:val="left"/>
      <w:pPr>
        <w:tabs>
          <w:tab w:val="num" w:pos="5301"/>
        </w:tabs>
        <w:ind w:left="5301" w:hanging="360"/>
      </w:pPr>
      <w:rPr>
        <w:rFonts w:ascii="Symbol" w:hAnsi="Symbol" w:hint="default"/>
      </w:rPr>
    </w:lvl>
    <w:lvl w:ilvl="7" w:tplc="04190003" w:tentative="1">
      <w:start w:val="1"/>
      <w:numFmt w:val="bullet"/>
      <w:lvlText w:val="o"/>
      <w:lvlJc w:val="left"/>
      <w:pPr>
        <w:tabs>
          <w:tab w:val="num" w:pos="6021"/>
        </w:tabs>
        <w:ind w:left="6021" w:hanging="360"/>
      </w:pPr>
      <w:rPr>
        <w:rFonts w:ascii="Courier New" w:hAnsi="Courier New" w:hint="default"/>
      </w:rPr>
    </w:lvl>
    <w:lvl w:ilvl="8" w:tplc="04190005" w:tentative="1">
      <w:start w:val="1"/>
      <w:numFmt w:val="bullet"/>
      <w:lvlText w:val=""/>
      <w:lvlJc w:val="left"/>
      <w:pPr>
        <w:tabs>
          <w:tab w:val="num" w:pos="6741"/>
        </w:tabs>
        <w:ind w:left="6741" w:hanging="360"/>
      </w:pPr>
      <w:rPr>
        <w:rFonts w:ascii="Wingdings" w:hAnsi="Wingdings" w:hint="default"/>
      </w:rPr>
    </w:lvl>
  </w:abstractNum>
  <w:abstractNum w:abstractNumId="12">
    <w:nsid w:val="5A397A1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5BD001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61611644"/>
    <w:multiLevelType w:val="multilevel"/>
    <w:tmpl w:val="F7982E72"/>
    <w:lvl w:ilvl="0">
      <w:start w:val="1"/>
      <w:numFmt w:val="decimal"/>
      <w:lvlText w:val="%1."/>
      <w:lvlJc w:val="left"/>
      <w:pPr>
        <w:tabs>
          <w:tab w:val="num" w:pos="360"/>
        </w:tabs>
        <w:ind w:left="360" w:hanging="360"/>
      </w:pPr>
    </w:lvl>
    <w:lvl w:ilvl="1">
      <w:start w:val="7"/>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673A69A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78A2352F"/>
    <w:multiLevelType w:val="multilevel"/>
    <w:tmpl w:val="1BC470EC"/>
    <w:lvl w:ilvl="0">
      <w:start w:val="1"/>
      <w:numFmt w:val="bullet"/>
      <w:lvlText w:val=""/>
      <w:lvlJc w:val="left"/>
      <w:pPr>
        <w:ind w:left="360" w:hanging="360"/>
      </w:pPr>
      <w:rPr>
        <w:rFonts w:ascii="Symbol" w:hAnsi="Symbol" w:hint="default"/>
      </w:rPr>
    </w:lvl>
    <w:lvl w:ilvl="1">
      <w:start w:val="1"/>
      <w:numFmt w:val="bullet"/>
      <w:lvlText w:val="o"/>
      <w:lvlJc w:val="left"/>
      <w:pPr>
        <w:ind w:left="1245" w:hanging="525"/>
      </w:pPr>
      <w:rPr>
        <w:rFonts w:ascii="Courier New" w:hAnsi="Courier New" w:cs="Courier New" w:hint="default"/>
      </w:rPr>
    </w:lvl>
    <w:lvl w:ilvl="2">
      <w:start w:val="1"/>
      <w:numFmt w:val="decimal"/>
      <w:isLgl/>
      <w:lvlText w:val="%1.%2.%3"/>
      <w:lvlJc w:val="left"/>
      <w:pPr>
        <w:ind w:left="360" w:hanging="720"/>
      </w:pPr>
      <w:rPr>
        <w:rFonts w:hint="default"/>
        <w:i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num w:numId="1">
    <w:abstractNumId w:val="15"/>
  </w:num>
  <w:num w:numId="2">
    <w:abstractNumId w:val="10"/>
  </w:num>
  <w:num w:numId="3">
    <w:abstractNumId w:val="8"/>
  </w:num>
  <w:num w:numId="4">
    <w:abstractNumId w:val="5"/>
  </w:num>
  <w:num w:numId="5">
    <w:abstractNumId w:val="13"/>
  </w:num>
  <w:num w:numId="6">
    <w:abstractNumId w:val="2"/>
  </w:num>
  <w:num w:numId="7">
    <w:abstractNumId w:val="12"/>
  </w:num>
  <w:num w:numId="8">
    <w:abstractNumId w:val="3"/>
  </w:num>
  <w:num w:numId="9">
    <w:abstractNumId w:val="9"/>
  </w:num>
  <w:num w:numId="10">
    <w:abstractNumId w:val="11"/>
  </w:num>
  <w:num w:numId="11">
    <w:abstractNumId w:val="14"/>
  </w:num>
  <w:num w:numId="12">
    <w:abstractNumId w:val="6"/>
  </w:num>
  <w:num w:numId="13">
    <w:abstractNumId w:val="7"/>
  </w:num>
  <w:num w:numId="14">
    <w:abstractNumId w:val="4"/>
  </w:num>
  <w:num w:numId="15">
    <w:abstractNumId w:val="16"/>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94"/>
    <w:rsid w:val="001F0CFD"/>
    <w:rsid w:val="00271934"/>
    <w:rsid w:val="006E4404"/>
    <w:rsid w:val="007570AB"/>
    <w:rsid w:val="00840138"/>
    <w:rsid w:val="00A74FEC"/>
    <w:rsid w:val="00B717A6"/>
    <w:rsid w:val="00D45094"/>
    <w:rsid w:val="00E419DD"/>
    <w:rsid w:val="00EC348C"/>
    <w:rsid w:val="00FA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CFD"/>
    <w:pPr>
      <w:widowControl w:val="0"/>
      <w:spacing w:after="0" w:line="240" w:lineRule="auto"/>
    </w:pPr>
    <w:rPr>
      <w:rFonts w:ascii="Times New Roman" w:eastAsia="Times New Roman" w:hAnsi="Times New Roman" w:cs="Times New Roman"/>
      <w:snapToGrid w:val="0"/>
      <w:sz w:val="20"/>
      <w:szCs w:val="20"/>
      <w:lang w:eastAsia="ru-RU"/>
    </w:rPr>
  </w:style>
  <w:style w:type="paragraph" w:styleId="2">
    <w:name w:val="heading 2"/>
    <w:basedOn w:val="a"/>
    <w:next w:val="a"/>
    <w:link w:val="20"/>
    <w:unhideWhenUsed/>
    <w:qFormat/>
    <w:rsid w:val="006E4404"/>
    <w:pPr>
      <w:keepNext/>
      <w:keepLines/>
      <w:widowControl/>
      <w:spacing w:before="200"/>
      <w:outlineLvl w:val="1"/>
    </w:pPr>
    <w:rPr>
      <w:rFonts w:ascii="Arial" w:eastAsiaTheme="majorEastAsia" w:hAnsi="Arial" w:cstheme="majorBidi"/>
      <w:b/>
      <w:bCs/>
      <w:snapToGrid/>
      <w:sz w:val="24"/>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1F0CFD"/>
    <w:pPr>
      <w:widowControl/>
      <w:ind w:firstLine="485"/>
      <w:jc w:val="both"/>
    </w:pPr>
    <w:rPr>
      <w:snapToGrid/>
      <w:color w:val="000000"/>
      <w:sz w:val="24"/>
    </w:rPr>
  </w:style>
  <w:style w:type="paragraph" w:styleId="22">
    <w:name w:val="Body Text 2"/>
    <w:basedOn w:val="a"/>
    <w:link w:val="23"/>
    <w:rsid w:val="001F0CFD"/>
    <w:rPr>
      <w:sz w:val="24"/>
    </w:rPr>
  </w:style>
  <w:style w:type="character" w:customStyle="1" w:styleId="23">
    <w:name w:val="Основной текст 2 Знак"/>
    <w:basedOn w:val="a0"/>
    <w:link w:val="22"/>
    <w:rsid w:val="001F0CFD"/>
    <w:rPr>
      <w:rFonts w:ascii="Times New Roman" w:eastAsia="Times New Roman" w:hAnsi="Times New Roman" w:cs="Times New Roman"/>
      <w:snapToGrid w:val="0"/>
      <w:sz w:val="24"/>
      <w:szCs w:val="20"/>
      <w:lang w:eastAsia="ru-RU"/>
    </w:rPr>
  </w:style>
  <w:style w:type="paragraph" w:customStyle="1" w:styleId="Text">
    <w:name w:val="Text"/>
    <w:basedOn w:val="a"/>
    <w:rsid w:val="001F0CFD"/>
    <w:pPr>
      <w:tabs>
        <w:tab w:val="left" w:pos="284"/>
      </w:tabs>
      <w:spacing w:after="260"/>
      <w:jc w:val="both"/>
    </w:pPr>
    <w:rPr>
      <w:snapToGrid/>
      <w:sz w:val="22"/>
      <w:lang w:val="en-US"/>
    </w:rPr>
  </w:style>
  <w:style w:type="character" w:customStyle="1" w:styleId="20">
    <w:name w:val="Заголовок 2 Знак"/>
    <w:basedOn w:val="a0"/>
    <w:link w:val="2"/>
    <w:rsid w:val="006E4404"/>
    <w:rPr>
      <w:rFonts w:ascii="Arial" w:eastAsiaTheme="majorEastAsia" w:hAnsi="Arial" w:cstheme="majorBidi"/>
      <w:b/>
      <w:bCs/>
      <w:sz w:val="24"/>
      <w:szCs w:val="26"/>
      <w:lang w:val="en-US"/>
    </w:rPr>
  </w:style>
  <w:style w:type="paragraph" w:styleId="a3">
    <w:name w:val="List Paragraph"/>
    <w:basedOn w:val="a"/>
    <w:link w:val="a4"/>
    <w:uiPriority w:val="34"/>
    <w:qFormat/>
    <w:rsid w:val="006E4404"/>
    <w:pPr>
      <w:widowControl/>
      <w:spacing w:after="200" w:line="276" w:lineRule="auto"/>
      <w:ind w:left="720"/>
      <w:contextualSpacing/>
    </w:pPr>
    <w:rPr>
      <w:rFonts w:ascii="Calibri" w:eastAsia="Calibri" w:hAnsi="Calibri"/>
      <w:snapToGrid/>
      <w:sz w:val="22"/>
      <w:szCs w:val="22"/>
      <w:lang w:eastAsia="en-US"/>
    </w:rPr>
  </w:style>
  <w:style w:type="character" w:customStyle="1" w:styleId="a4">
    <w:name w:val="Абзац списка Знак"/>
    <w:basedOn w:val="a0"/>
    <w:link w:val="a3"/>
    <w:uiPriority w:val="34"/>
    <w:rsid w:val="006E4404"/>
    <w:rPr>
      <w:rFonts w:ascii="Calibri" w:eastAsia="Calibri" w:hAnsi="Calibri" w:cs="Times New Roman"/>
    </w:rPr>
  </w:style>
  <w:style w:type="paragraph" w:customStyle="1" w:styleId="a5">
    <w:name w:val="Отчетность"/>
    <w:basedOn w:val="a"/>
    <w:rsid w:val="006E4404"/>
    <w:pPr>
      <w:spacing w:before="120"/>
      <w:jc w:val="both"/>
    </w:pPr>
    <w:rPr>
      <w:snapToGrid/>
    </w:rPr>
  </w:style>
  <w:style w:type="paragraph" w:styleId="a6">
    <w:name w:val="header"/>
    <w:basedOn w:val="a"/>
    <w:link w:val="a7"/>
    <w:uiPriority w:val="99"/>
    <w:unhideWhenUsed/>
    <w:rsid w:val="00FA6FF6"/>
    <w:pPr>
      <w:tabs>
        <w:tab w:val="center" w:pos="4677"/>
        <w:tab w:val="right" w:pos="9355"/>
      </w:tabs>
    </w:pPr>
  </w:style>
  <w:style w:type="character" w:customStyle="1" w:styleId="a7">
    <w:name w:val="Верхний колонтитул Знак"/>
    <w:basedOn w:val="a0"/>
    <w:link w:val="a6"/>
    <w:uiPriority w:val="99"/>
    <w:rsid w:val="00FA6FF6"/>
    <w:rPr>
      <w:rFonts w:ascii="Times New Roman" w:eastAsia="Times New Roman" w:hAnsi="Times New Roman" w:cs="Times New Roman"/>
      <w:snapToGrid w:val="0"/>
      <w:sz w:val="20"/>
      <w:szCs w:val="20"/>
      <w:lang w:eastAsia="ru-RU"/>
    </w:rPr>
  </w:style>
  <w:style w:type="paragraph" w:styleId="a8">
    <w:name w:val="footer"/>
    <w:basedOn w:val="a"/>
    <w:link w:val="a9"/>
    <w:uiPriority w:val="99"/>
    <w:unhideWhenUsed/>
    <w:rsid w:val="00FA6FF6"/>
    <w:pPr>
      <w:tabs>
        <w:tab w:val="center" w:pos="4677"/>
        <w:tab w:val="right" w:pos="9355"/>
      </w:tabs>
    </w:pPr>
  </w:style>
  <w:style w:type="character" w:customStyle="1" w:styleId="a9">
    <w:name w:val="Нижний колонтитул Знак"/>
    <w:basedOn w:val="a0"/>
    <w:link w:val="a8"/>
    <w:uiPriority w:val="99"/>
    <w:rsid w:val="00FA6FF6"/>
    <w:rPr>
      <w:rFonts w:ascii="Times New Roman" w:eastAsia="Times New Roman" w:hAnsi="Times New Roman" w:cs="Times New Roman"/>
      <w:snapToGrid w:val="0"/>
      <w:sz w:val="20"/>
      <w:szCs w:val="20"/>
      <w:lang w:eastAsia="ru-RU"/>
    </w:rPr>
  </w:style>
  <w:style w:type="paragraph" w:styleId="aa">
    <w:name w:val="Balloon Text"/>
    <w:basedOn w:val="a"/>
    <w:link w:val="ab"/>
    <w:uiPriority w:val="99"/>
    <w:semiHidden/>
    <w:unhideWhenUsed/>
    <w:rsid w:val="00B717A6"/>
    <w:rPr>
      <w:rFonts w:ascii="Tahoma" w:hAnsi="Tahoma" w:cs="Tahoma"/>
      <w:sz w:val="16"/>
      <w:szCs w:val="16"/>
    </w:rPr>
  </w:style>
  <w:style w:type="character" w:customStyle="1" w:styleId="ab">
    <w:name w:val="Текст выноски Знак"/>
    <w:basedOn w:val="a0"/>
    <w:link w:val="aa"/>
    <w:uiPriority w:val="99"/>
    <w:semiHidden/>
    <w:rsid w:val="00B717A6"/>
    <w:rPr>
      <w:rFonts w:ascii="Tahoma" w:eastAsia="Times New Roman" w:hAnsi="Tahoma" w:cs="Tahoma"/>
      <w:snapToGrid w:val="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CFD"/>
    <w:pPr>
      <w:widowControl w:val="0"/>
      <w:spacing w:after="0" w:line="240" w:lineRule="auto"/>
    </w:pPr>
    <w:rPr>
      <w:rFonts w:ascii="Times New Roman" w:eastAsia="Times New Roman" w:hAnsi="Times New Roman" w:cs="Times New Roman"/>
      <w:snapToGrid w:val="0"/>
      <w:sz w:val="20"/>
      <w:szCs w:val="20"/>
      <w:lang w:eastAsia="ru-RU"/>
    </w:rPr>
  </w:style>
  <w:style w:type="paragraph" w:styleId="2">
    <w:name w:val="heading 2"/>
    <w:basedOn w:val="a"/>
    <w:next w:val="a"/>
    <w:link w:val="20"/>
    <w:unhideWhenUsed/>
    <w:qFormat/>
    <w:rsid w:val="006E4404"/>
    <w:pPr>
      <w:keepNext/>
      <w:keepLines/>
      <w:widowControl/>
      <w:spacing w:before="200"/>
      <w:outlineLvl w:val="1"/>
    </w:pPr>
    <w:rPr>
      <w:rFonts w:ascii="Arial" w:eastAsiaTheme="majorEastAsia" w:hAnsi="Arial" w:cstheme="majorBidi"/>
      <w:b/>
      <w:bCs/>
      <w:snapToGrid/>
      <w:sz w:val="24"/>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1F0CFD"/>
    <w:pPr>
      <w:widowControl/>
      <w:ind w:firstLine="485"/>
      <w:jc w:val="both"/>
    </w:pPr>
    <w:rPr>
      <w:snapToGrid/>
      <w:color w:val="000000"/>
      <w:sz w:val="24"/>
    </w:rPr>
  </w:style>
  <w:style w:type="paragraph" w:styleId="22">
    <w:name w:val="Body Text 2"/>
    <w:basedOn w:val="a"/>
    <w:link w:val="23"/>
    <w:rsid w:val="001F0CFD"/>
    <w:rPr>
      <w:sz w:val="24"/>
    </w:rPr>
  </w:style>
  <w:style w:type="character" w:customStyle="1" w:styleId="23">
    <w:name w:val="Основной текст 2 Знак"/>
    <w:basedOn w:val="a0"/>
    <w:link w:val="22"/>
    <w:rsid w:val="001F0CFD"/>
    <w:rPr>
      <w:rFonts w:ascii="Times New Roman" w:eastAsia="Times New Roman" w:hAnsi="Times New Roman" w:cs="Times New Roman"/>
      <w:snapToGrid w:val="0"/>
      <w:sz w:val="24"/>
      <w:szCs w:val="20"/>
      <w:lang w:eastAsia="ru-RU"/>
    </w:rPr>
  </w:style>
  <w:style w:type="paragraph" w:customStyle="1" w:styleId="Text">
    <w:name w:val="Text"/>
    <w:basedOn w:val="a"/>
    <w:rsid w:val="001F0CFD"/>
    <w:pPr>
      <w:tabs>
        <w:tab w:val="left" w:pos="284"/>
      </w:tabs>
      <w:spacing w:after="260"/>
      <w:jc w:val="both"/>
    </w:pPr>
    <w:rPr>
      <w:snapToGrid/>
      <w:sz w:val="22"/>
      <w:lang w:val="en-US"/>
    </w:rPr>
  </w:style>
  <w:style w:type="character" w:customStyle="1" w:styleId="20">
    <w:name w:val="Заголовок 2 Знак"/>
    <w:basedOn w:val="a0"/>
    <w:link w:val="2"/>
    <w:rsid w:val="006E4404"/>
    <w:rPr>
      <w:rFonts w:ascii="Arial" w:eastAsiaTheme="majorEastAsia" w:hAnsi="Arial" w:cstheme="majorBidi"/>
      <w:b/>
      <w:bCs/>
      <w:sz w:val="24"/>
      <w:szCs w:val="26"/>
      <w:lang w:val="en-US"/>
    </w:rPr>
  </w:style>
  <w:style w:type="paragraph" w:styleId="a3">
    <w:name w:val="List Paragraph"/>
    <w:basedOn w:val="a"/>
    <w:link w:val="a4"/>
    <w:uiPriority w:val="34"/>
    <w:qFormat/>
    <w:rsid w:val="006E4404"/>
    <w:pPr>
      <w:widowControl/>
      <w:spacing w:after="200" w:line="276" w:lineRule="auto"/>
      <w:ind w:left="720"/>
      <w:contextualSpacing/>
    </w:pPr>
    <w:rPr>
      <w:rFonts w:ascii="Calibri" w:eastAsia="Calibri" w:hAnsi="Calibri"/>
      <w:snapToGrid/>
      <w:sz w:val="22"/>
      <w:szCs w:val="22"/>
      <w:lang w:eastAsia="en-US"/>
    </w:rPr>
  </w:style>
  <w:style w:type="character" w:customStyle="1" w:styleId="a4">
    <w:name w:val="Абзац списка Знак"/>
    <w:basedOn w:val="a0"/>
    <w:link w:val="a3"/>
    <w:uiPriority w:val="34"/>
    <w:rsid w:val="006E4404"/>
    <w:rPr>
      <w:rFonts w:ascii="Calibri" w:eastAsia="Calibri" w:hAnsi="Calibri" w:cs="Times New Roman"/>
    </w:rPr>
  </w:style>
  <w:style w:type="paragraph" w:customStyle="1" w:styleId="a5">
    <w:name w:val="Отчетность"/>
    <w:basedOn w:val="a"/>
    <w:rsid w:val="006E4404"/>
    <w:pPr>
      <w:spacing w:before="120"/>
      <w:jc w:val="both"/>
    </w:pPr>
    <w:rPr>
      <w:snapToGrid/>
    </w:rPr>
  </w:style>
  <w:style w:type="paragraph" w:styleId="a6">
    <w:name w:val="header"/>
    <w:basedOn w:val="a"/>
    <w:link w:val="a7"/>
    <w:uiPriority w:val="99"/>
    <w:unhideWhenUsed/>
    <w:rsid w:val="00FA6FF6"/>
    <w:pPr>
      <w:tabs>
        <w:tab w:val="center" w:pos="4677"/>
        <w:tab w:val="right" w:pos="9355"/>
      </w:tabs>
    </w:pPr>
  </w:style>
  <w:style w:type="character" w:customStyle="1" w:styleId="a7">
    <w:name w:val="Верхний колонтитул Знак"/>
    <w:basedOn w:val="a0"/>
    <w:link w:val="a6"/>
    <w:uiPriority w:val="99"/>
    <w:rsid w:val="00FA6FF6"/>
    <w:rPr>
      <w:rFonts w:ascii="Times New Roman" w:eastAsia="Times New Roman" w:hAnsi="Times New Roman" w:cs="Times New Roman"/>
      <w:snapToGrid w:val="0"/>
      <w:sz w:val="20"/>
      <w:szCs w:val="20"/>
      <w:lang w:eastAsia="ru-RU"/>
    </w:rPr>
  </w:style>
  <w:style w:type="paragraph" w:styleId="a8">
    <w:name w:val="footer"/>
    <w:basedOn w:val="a"/>
    <w:link w:val="a9"/>
    <w:uiPriority w:val="99"/>
    <w:unhideWhenUsed/>
    <w:rsid w:val="00FA6FF6"/>
    <w:pPr>
      <w:tabs>
        <w:tab w:val="center" w:pos="4677"/>
        <w:tab w:val="right" w:pos="9355"/>
      </w:tabs>
    </w:pPr>
  </w:style>
  <w:style w:type="character" w:customStyle="1" w:styleId="a9">
    <w:name w:val="Нижний колонтитул Знак"/>
    <w:basedOn w:val="a0"/>
    <w:link w:val="a8"/>
    <w:uiPriority w:val="99"/>
    <w:rsid w:val="00FA6FF6"/>
    <w:rPr>
      <w:rFonts w:ascii="Times New Roman" w:eastAsia="Times New Roman" w:hAnsi="Times New Roman" w:cs="Times New Roman"/>
      <w:snapToGrid w:val="0"/>
      <w:sz w:val="20"/>
      <w:szCs w:val="20"/>
      <w:lang w:eastAsia="ru-RU"/>
    </w:rPr>
  </w:style>
  <w:style w:type="paragraph" w:styleId="aa">
    <w:name w:val="Balloon Text"/>
    <w:basedOn w:val="a"/>
    <w:link w:val="ab"/>
    <w:uiPriority w:val="99"/>
    <w:semiHidden/>
    <w:unhideWhenUsed/>
    <w:rsid w:val="00B717A6"/>
    <w:rPr>
      <w:rFonts w:ascii="Tahoma" w:hAnsi="Tahoma" w:cs="Tahoma"/>
      <w:sz w:val="16"/>
      <w:szCs w:val="16"/>
    </w:rPr>
  </w:style>
  <w:style w:type="character" w:customStyle="1" w:styleId="ab">
    <w:name w:val="Текст выноски Знак"/>
    <w:basedOn w:val="a0"/>
    <w:link w:val="aa"/>
    <w:uiPriority w:val="99"/>
    <w:semiHidden/>
    <w:rsid w:val="00B717A6"/>
    <w:rPr>
      <w:rFonts w:ascii="Tahoma" w:eastAsia="Times New Roman" w:hAnsi="Tahoma" w:cs="Tahoma"/>
      <w:snapToGrid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5C7AF604FD234458CB56A1D29E66B55549E652F149BBBC60F454CCDD6C5C8B98C6890C2972B944yDDBK" TargetMode="External"/><Relationship Id="rId13" Type="http://schemas.openxmlformats.org/officeDocument/2006/relationships/hyperlink" Target="consultantplus://offline/ref=B421F312EF8FE65D342C08A62C334CF89C20929CDDD763EDD8D76984932087154FB6C25998C41A3Fh576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421F312EF8FE65D342C08A62C334CF89C20929CDDD763EDD8D76984932087154FB6C25998C41A3Fh576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65C7AF604FD234458CB56A1D29E66B55549E652F149BBBC60F454CCDD6C5C8B98C6890C2972B944yDDB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65C7AF604FD234458CB56A1D29E66B55549E652F149BBBC60F454CCDD6C5C8B98C6890C2972B944yDDBK" TargetMode="External"/><Relationship Id="rId4" Type="http://schemas.openxmlformats.org/officeDocument/2006/relationships/settings" Target="settings.xml"/><Relationship Id="rId9" Type="http://schemas.openxmlformats.org/officeDocument/2006/relationships/hyperlink" Target="consultantplus://offline/ref=165C7AF604FD234458CB56A1D29E66B55549E652F149BBBC60F454CCDD6C5C8B98C6890C2972B944yDDB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6690</Words>
  <Characters>38138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Dmitriev</dc:creator>
  <cp:keywords/>
  <dc:description/>
  <cp:lastModifiedBy>Dmitriev</cp:lastModifiedBy>
  <cp:revision>7</cp:revision>
  <cp:lastPrinted>2016-07-04T17:36:00Z</cp:lastPrinted>
  <dcterms:created xsi:type="dcterms:W3CDTF">2016-07-04T14:01:00Z</dcterms:created>
  <dcterms:modified xsi:type="dcterms:W3CDTF">2016-07-04T17:40:00Z</dcterms:modified>
</cp:coreProperties>
</file>